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  <w:t>麦盖提县城市供热管理办法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》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  <w:t>政策解读</w:t>
      </w:r>
    </w:p>
    <w:p w14:paraId="2ECF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/>
          <w:spacing w:val="6"/>
          <w:sz w:val="32"/>
          <w:szCs w:val="32"/>
        </w:rPr>
      </w:pPr>
    </w:p>
    <w:p w14:paraId="017A0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一、《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》制定背景</w:t>
      </w:r>
    </w:p>
    <w:p w14:paraId="6234E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随着经济社会的发展，人民生活水平的提高，冬季采暖已是我县城镇居民的基本生活需求。近年来，我县城市供热取得了长足发展。目前共有供热热源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处，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热水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锅炉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台，供热管网铺设长度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144.6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公里，保障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城区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保障性住房小区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、商品房小区、学校、单位办公场所等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冬季用暖。全县城市供热事业呈现出节约能源、改善环境、有利生产、方便生活的显著效果。</w:t>
      </w:r>
    </w:p>
    <w:p w14:paraId="2A09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在运行过程中，还存在一些影响供热行业持续稳定发展的问题。一是我县未单独出台针对供热领域相关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及条例规定，按照《新疆维吾尔自治区供热供水供气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》相关规定对供热领域进行管理，目前《新疆维吾尔自治区供热供水供气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已不适应我县当前经济社会发展的需要，无法满足我县供热领域管理需求。二是对供热设施运行、养护、维修、改造、责任划分不明确，界限不明晰，在实际实行过程中造成责任单位互相推诿的现象。三是对热费收取标准、收取方式未做出明确要求，用热群众对收费异议较大。四是对停（限）用热办理流程、办理条件未做出明确要求，用热群众对此存在较大不满。这些矛盾和问题影响了我县供热质量和安全，制约了供热事业的健康发展，亟须通过立法加以规范和解决，为我县供热市场健康发展、绿色运行提供制度保障。</w:t>
      </w:r>
    </w:p>
    <w:p w14:paraId="6DF8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二、《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》制定依据</w:t>
      </w:r>
    </w:p>
    <w:p w14:paraId="6DB7F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》的制定主要依据《新疆维吾尔自治区供热供水供气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》《喀什市城市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》，在充分调研论证的基础上，结合群众代表座谈讨论意见建议，根据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城市供热运行实际，制定了《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》。</w:t>
      </w:r>
    </w:p>
    <w:p w14:paraId="64E0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三、《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》主要内容</w:t>
      </w:r>
    </w:p>
    <w:p w14:paraId="60617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》共8章44条，主要涵盖城市供热设施规划与建设、供热设施管理、供热服务管理、用热合同管理、取暖费缴费管理及法律责任等内容。</w:t>
      </w:r>
    </w:p>
    <w:p w14:paraId="024FB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（一）总则</w:t>
      </w:r>
    </w:p>
    <w:p w14:paraId="2A97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第一章共五条（第一条至第五条），分别明确和规范了立法目的、适用范围、政府及相关部门的工作职责、环保供热、明确了供热企业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热用户等用语的具体含义。</w:t>
      </w:r>
    </w:p>
    <w:p w14:paraId="239D7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（二）规划与建设</w:t>
      </w:r>
    </w:p>
    <w:p w14:paraId="5A026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第二章共七条（第六条至第十二条），分别对供热专项规划，政府投入，审批预留，新建、改建、扩建工程，供热管道和供热工程及工程验收、移交等有关事项作了规定。</w:t>
      </w:r>
    </w:p>
    <w:p w14:paraId="2CC36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（三）供热设施管理</w:t>
      </w:r>
    </w:p>
    <w:p w14:paraId="0789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第三章共四条（第十三条至第十六条），对供热设施的建设、改造、维修和养护做出明确责任划分，明确供热设施安全保护责任及六项禁止行为。</w:t>
      </w:r>
    </w:p>
    <w:p w14:paraId="72CF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（四）供热服务管理</w:t>
      </w:r>
    </w:p>
    <w:p w14:paraId="4938F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四章共九条（第十七条至第二十五条），明确了供热企业经营准入、经营管理制度，供热企业职责任务，供热期限及供热最低标准，供热故障处理，供热服务标准的监督责任，用热户故障抢修、投诉的处理程序和要求，企业运营监督管理等。同时，针对供热中可能出现的突发事件，还规定了应急保障制度等。</w:t>
      </w:r>
    </w:p>
    <w:p w14:paraId="2F9E9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（五）供热合同管理</w:t>
      </w:r>
    </w:p>
    <w:p w14:paraId="1E39B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五章共七条（第二十六条至第三十二条），对供用热关系确立标准，用热户办理入网、停（限）暖、续停（限）暖办理时间，用热合同的签订方式，用热投诉的处理时限，用热户、用热企业和用热单位履行责任义务及禁止行为，用热户、用热企业和用热单位违反规定的处罚方式做出明确规定。</w:t>
      </w:r>
    </w:p>
    <w:p w14:paraId="4CCE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（六）取暖费缴费管理</w:t>
      </w:r>
    </w:p>
    <w:p w14:paraId="27E0D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六章共五条（第三十三条至第三十七条），对供热价格标准、热费缴费方式、缴费期限、逾期违约金收缴方式作出明确规定，并针对特殊情况下的缴费标准，住户办理停（限）暖、室内加装供热源的具体办理流程及缴费标准做出了具体规定。为了提升困难群众的获得感、幸福感、安全感，进一步夯实困难群众基本生活保障，特别针对家庭条件困难群体的用热户延长缴费期限。</w:t>
      </w:r>
    </w:p>
    <w:p w14:paraId="259FD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（七）法律责任</w:t>
      </w:r>
    </w:p>
    <w:p w14:paraId="7EC4D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第七章共四条（第三十八条至第四十一条），明确了对供热企业，用热户、用热企业和用热单位违反《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》之规定的处罚主体、处罚依据、处罚方式。</w:t>
      </w:r>
    </w:p>
    <w:p w14:paraId="188CF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（八）附则</w:t>
      </w:r>
    </w:p>
    <w:p w14:paraId="40DC9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第八章共三条（第四十二条至第四十四条），规定了《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》的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计划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实行时间，明确《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》规定处罚之外的法律责任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执行依据，确定《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》负责解释单位。</w:t>
      </w:r>
    </w:p>
    <w:p w14:paraId="0932A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CCE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000C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000C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I4ZThjOWRjMTU5ZWQ5N2M5ZDEwYzM2ZmViMzYifQ=="/>
  </w:docVars>
  <w:rsids>
    <w:rsidRoot w:val="09247883"/>
    <w:rsid w:val="09247883"/>
    <w:rsid w:val="0CE92A43"/>
    <w:rsid w:val="1B8D7826"/>
    <w:rsid w:val="413C72E4"/>
    <w:rsid w:val="645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1665</Words>
  <Characters>1670</Characters>
  <Lines>0</Lines>
  <Paragraphs>0</Paragraphs>
  <TotalTime>2</TotalTime>
  <ScaleCrop>false</ScaleCrop>
  <LinksUpToDate>false</LinksUpToDate>
  <CharactersWithSpaces>1670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2023-06-04T10:11:00Z</dcterms:created>
  <dc:creator>Administrator</dc:creator>
  <cp:lastModifiedBy>庇涝严戎山</cp:lastModifiedBy>
  <cp:lastPrinted>2024-06-29T04:11:00Z</cp:lastPrinted>
  <dcterms:modified xsi:type="dcterms:W3CDTF">2024-07-21T03:52:59Z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B00AB49EA95849BBBBE5A8E6E051AEF5</vt:lpwstr>
  </property>
</Properties>
</file>