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新疆喀什地区麦盖提县尕孜库勒乡人民政府2019年度部门决算公开说明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1、促进经济发展。制定实施本乡经济发展规划，发展壮大农村集体经济，大力发展农村个体私营等非公有制经济，推进农村市场经济体系的建设，促进农民增收。</w:t>
      </w:r>
    </w:p>
    <w:p>
      <w:pPr>
        <w:ind w:firstLine="480"/>
        <w:jc w:val="both"/>
      </w:pPr>
      <w:r>
        <w:rPr>
          <w:rFonts w:ascii="仿宋_GB2312" w:hAnsi="仿宋_GB2312" w:cs="仿宋_GB2312" w:eastAsia="仿宋_GB2312"/>
          <w:b w:val="false"/>
          <w:sz w:val="32"/>
        </w:rPr>
        <w:t>2、加强社会综合治理，综合协调平安建设工作，强化信访，调解工作，化解农村社会矛盾；抓好法制宣传和普法教育，增强干部群众的法制意识。</w:t>
      </w:r>
    </w:p>
    <w:p>
      <w:pPr>
        <w:ind w:firstLine="480"/>
        <w:jc w:val="both"/>
      </w:pPr>
      <w:r>
        <w:rPr>
          <w:rFonts w:ascii="仿宋_GB2312" w:hAnsi="仿宋_GB2312" w:cs="仿宋_GB2312" w:eastAsia="仿宋_GB2312"/>
          <w:b w:val="false"/>
          <w:sz w:val="32"/>
        </w:rPr>
        <w:t>3、加强社会管理。制度实施本乡社会发展规划，负责管理教育，文化，卫生，等社会事业和计划生育，配合上级有关部门做好。</w:t>
      </w:r>
    </w:p>
    <w:p>
      <w:pPr>
        <w:ind w:firstLine="480"/>
        <w:jc w:val="both"/>
      </w:pPr>
      <w:r>
        <w:rPr>
          <w:rFonts w:ascii="仿宋_GB2312" w:hAnsi="仿宋_GB2312" w:cs="仿宋_GB2312" w:eastAsia="仿宋_GB2312"/>
          <w:b w:val="false"/>
          <w:sz w:val="32"/>
        </w:rPr>
        <w:t>4、搞好公共服务。加强基础设施建设，发展农村社会公共事业和集体公益事业，鼓励和扶持社会力量举办为“三农”服务的公益性机构和经济实体。</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新疆喀什地区麦盖提县尕孜库勒乡人民政府2019年度，实有人数137人，其中：在职人员120人，离休人员0人，退休人员17人。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从部门决算单位构成看，新疆喀什地区麦盖提县尕孜库勒乡人民政府部门决算包括：新疆喀什地区麦盖提县尕孜库勒乡人民政府决算。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7,817.76万元，与上年相比，减少1,724.18万元，下降18.07%，主要原因是：其他收入较去年减少。本年支出9,184.06万元，与上年相比，增加1,305.36万元，增长16.57%，主要原因是：18年结转资金1663.24万元在19年形成支出，因此支出较去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2019年度本年收入7,817.76万元，其中：财政拨款收入7,634.04万元，占97.65%；上级补助收入0万元，占0%；事业收入0万元，占0%；经营收入0万元，占0%；附属单位上缴收入0万元，占0%；其他收入183.73万元，占2.35%。</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2019年度本年支出9,184.06万元，其中：基本支出1,601.08万元，占17.43%；项目支出7,582.98万元，占82.57%；上缴上级支出0万元，占0%；经营支出0万元，占0%；对附属单位补助支出0万元，占0%。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7,634.04万元，与上年相比，增加711.10万元，增长10.27%，主要原因是：财政专项资金较去年增加。财政拨款支出8,085.34万元，与上年相比，增加1,719.12万元，增长27%，主要原因是：财政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2,214.40万元，决算数7,634.04万元，预决算差异率244.75%，主要原因是：年初预算只有本级项目以及预告知的项目，后期到达的部分专项资金通过预算追加下达，因此决算数大于年初预算数。财政拨款支出年初预算数2,214.40万元，决算数8,085.34万元，预决算差异率265.13%，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2019年度一般公共预算财政拨款支出7,968.81万元。按功能分类科目项级科目公开，其中：</w:t>
      </w:r>
    </w:p>
    <w:p>
      <w:pPr>
        <w:ind w:firstLine="480"/>
        <w:jc w:val="both"/>
      </w:pPr>
      <w:r>
        <w:rPr>
          <w:rFonts w:ascii="仿宋_GB2312" w:hAnsi="仿宋_GB2312" w:cs="仿宋_GB2312" w:eastAsia="仿宋_GB2312"/>
          <w:b w:val="false"/>
          <w:sz w:val="32"/>
        </w:rPr>
        <w:t xml:space="preserve">   2010301行政运行支出921.89万元；</w:t>
      </w:r>
    </w:p>
    <w:p>
      <w:pPr>
        <w:ind w:firstLine="480"/>
        <w:jc w:val="both"/>
      </w:pPr>
      <w:r>
        <w:rPr>
          <w:rFonts w:ascii="仿宋_GB2312" w:hAnsi="仿宋_GB2312" w:cs="仿宋_GB2312" w:eastAsia="仿宋_GB2312"/>
          <w:b w:val="false"/>
          <w:sz w:val="32"/>
        </w:rPr>
        <w:t xml:space="preserve">   2010399其他政府办公厅（室）及相关机构事务支出22.50万元；</w:t>
      </w:r>
    </w:p>
    <w:p>
      <w:pPr>
        <w:ind w:firstLine="480"/>
        <w:jc w:val="both"/>
      </w:pPr>
      <w:r>
        <w:rPr>
          <w:rFonts w:ascii="仿宋_GB2312" w:hAnsi="仿宋_GB2312" w:cs="仿宋_GB2312" w:eastAsia="仿宋_GB2312"/>
          <w:b w:val="false"/>
          <w:sz w:val="32"/>
        </w:rPr>
        <w:t xml:space="preserve">   2010601行政运行支出11.08万元；</w:t>
      </w:r>
    </w:p>
    <w:p>
      <w:pPr>
        <w:ind w:firstLine="480"/>
        <w:jc w:val="both"/>
      </w:pPr>
      <w:r>
        <w:rPr>
          <w:rFonts w:ascii="仿宋_GB2312" w:hAnsi="仿宋_GB2312" w:cs="仿宋_GB2312" w:eastAsia="仿宋_GB2312"/>
          <w:b w:val="false"/>
          <w:sz w:val="32"/>
        </w:rPr>
        <w:t xml:space="preserve">   2011001行政运行支出63.95万元；</w:t>
      </w:r>
    </w:p>
    <w:p>
      <w:pPr>
        <w:ind w:firstLine="480"/>
        <w:jc w:val="both"/>
      </w:pPr>
      <w:r>
        <w:rPr>
          <w:rFonts w:ascii="仿宋_GB2312" w:hAnsi="仿宋_GB2312" w:cs="仿宋_GB2312" w:eastAsia="仿宋_GB2312"/>
          <w:b w:val="false"/>
          <w:sz w:val="32"/>
        </w:rPr>
        <w:t xml:space="preserve">   2011102一般行政管理事务支出5万元；</w:t>
      </w:r>
    </w:p>
    <w:p>
      <w:pPr>
        <w:ind w:firstLine="480"/>
        <w:jc w:val="both"/>
      </w:pPr>
      <w:r>
        <w:rPr>
          <w:rFonts w:ascii="仿宋_GB2312" w:hAnsi="仿宋_GB2312" w:cs="仿宋_GB2312" w:eastAsia="仿宋_GB2312"/>
          <w:b w:val="false"/>
          <w:sz w:val="32"/>
        </w:rPr>
        <w:t xml:space="preserve">   2011199其他纪检监察事务支出0.24万元；</w:t>
      </w:r>
    </w:p>
    <w:p>
      <w:pPr>
        <w:ind w:firstLine="480"/>
        <w:jc w:val="both"/>
      </w:pPr>
      <w:r>
        <w:rPr>
          <w:rFonts w:ascii="仿宋_GB2312" w:hAnsi="仿宋_GB2312" w:cs="仿宋_GB2312" w:eastAsia="仿宋_GB2312"/>
          <w:b w:val="false"/>
          <w:sz w:val="32"/>
        </w:rPr>
        <w:t xml:space="preserve">   2013101行政运行支出23.31万元；</w:t>
      </w:r>
    </w:p>
    <w:p>
      <w:pPr>
        <w:ind w:firstLine="480"/>
        <w:jc w:val="both"/>
      </w:pPr>
      <w:r>
        <w:rPr>
          <w:rFonts w:ascii="仿宋_GB2312" w:hAnsi="仿宋_GB2312" w:cs="仿宋_GB2312" w:eastAsia="仿宋_GB2312"/>
          <w:b w:val="false"/>
          <w:sz w:val="32"/>
        </w:rPr>
        <w:t xml:space="preserve">   2013299其他组织事务支出1,007.05万元；</w:t>
      </w:r>
    </w:p>
    <w:p>
      <w:pPr>
        <w:ind w:firstLine="480"/>
        <w:jc w:val="both"/>
      </w:pPr>
      <w:r>
        <w:rPr>
          <w:rFonts w:ascii="仿宋_GB2312" w:hAnsi="仿宋_GB2312" w:cs="仿宋_GB2312" w:eastAsia="仿宋_GB2312"/>
          <w:b w:val="false"/>
          <w:sz w:val="32"/>
        </w:rPr>
        <w:t xml:space="preserve">   2013499其他统战事务支出107.58万元；</w:t>
      </w:r>
    </w:p>
    <w:p>
      <w:pPr>
        <w:ind w:firstLine="480"/>
        <w:jc w:val="both"/>
      </w:pPr>
      <w:r>
        <w:rPr>
          <w:rFonts w:ascii="仿宋_GB2312" w:hAnsi="仿宋_GB2312" w:cs="仿宋_GB2312" w:eastAsia="仿宋_GB2312"/>
          <w:b w:val="false"/>
          <w:sz w:val="32"/>
        </w:rPr>
        <w:t xml:space="preserve">   2019999其他一般公共服务支出255.77万元；</w:t>
      </w:r>
    </w:p>
    <w:p>
      <w:pPr>
        <w:ind w:firstLine="480"/>
        <w:jc w:val="both"/>
      </w:pPr>
      <w:r>
        <w:rPr>
          <w:rFonts w:ascii="仿宋_GB2312" w:hAnsi="仿宋_GB2312" w:cs="仿宋_GB2312" w:eastAsia="仿宋_GB2312"/>
          <w:b w:val="false"/>
          <w:sz w:val="32"/>
        </w:rPr>
        <w:t xml:space="preserve">   2040601行政运行支出10.11万元；</w:t>
      </w:r>
    </w:p>
    <w:p>
      <w:pPr>
        <w:ind w:firstLine="480"/>
        <w:jc w:val="both"/>
      </w:pPr>
      <w:r>
        <w:rPr>
          <w:rFonts w:ascii="仿宋_GB2312" w:hAnsi="仿宋_GB2312" w:cs="仿宋_GB2312" w:eastAsia="仿宋_GB2312"/>
          <w:b w:val="false"/>
          <w:sz w:val="32"/>
        </w:rPr>
        <w:t xml:space="preserve">   2049901其他公共安全支出172.11万元；</w:t>
      </w:r>
    </w:p>
    <w:p>
      <w:pPr>
        <w:ind w:firstLine="480"/>
        <w:jc w:val="both"/>
      </w:pPr>
      <w:r>
        <w:rPr>
          <w:rFonts w:ascii="仿宋_GB2312" w:hAnsi="仿宋_GB2312" w:cs="仿宋_GB2312" w:eastAsia="仿宋_GB2312"/>
          <w:b w:val="false"/>
          <w:sz w:val="32"/>
        </w:rPr>
        <w:t xml:space="preserve">   2050299其他普通教育支出7.80万元；</w:t>
      </w:r>
    </w:p>
    <w:p>
      <w:pPr>
        <w:ind w:firstLine="480"/>
        <w:jc w:val="both"/>
      </w:pPr>
      <w:r>
        <w:rPr>
          <w:rFonts w:ascii="仿宋_GB2312" w:hAnsi="仿宋_GB2312" w:cs="仿宋_GB2312" w:eastAsia="仿宋_GB2312"/>
          <w:b w:val="false"/>
          <w:sz w:val="32"/>
        </w:rPr>
        <w:t xml:space="preserve">   2070109群众文化支出8.02万元；</w:t>
      </w:r>
    </w:p>
    <w:p>
      <w:pPr>
        <w:ind w:firstLine="480"/>
        <w:jc w:val="both"/>
      </w:pPr>
      <w:r>
        <w:rPr>
          <w:rFonts w:ascii="仿宋_GB2312" w:hAnsi="仿宋_GB2312" w:cs="仿宋_GB2312" w:eastAsia="仿宋_GB2312"/>
          <w:b w:val="false"/>
          <w:sz w:val="32"/>
        </w:rPr>
        <w:t xml:space="preserve">   2070199其他文化和旅游支出5万元；</w:t>
      </w:r>
    </w:p>
    <w:p>
      <w:pPr>
        <w:ind w:firstLine="480"/>
        <w:jc w:val="both"/>
      </w:pPr>
      <w:r>
        <w:rPr>
          <w:rFonts w:ascii="仿宋_GB2312" w:hAnsi="仿宋_GB2312" w:cs="仿宋_GB2312" w:eastAsia="仿宋_GB2312"/>
          <w:b w:val="false"/>
          <w:sz w:val="32"/>
        </w:rPr>
        <w:t xml:space="preserve">   2070804广播支出26.25万元；</w:t>
      </w:r>
    </w:p>
    <w:p>
      <w:pPr>
        <w:ind w:firstLine="480"/>
        <w:jc w:val="both"/>
      </w:pPr>
      <w:r>
        <w:rPr>
          <w:rFonts w:ascii="仿宋_GB2312" w:hAnsi="仿宋_GB2312" w:cs="仿宋_GB2312" w:eastAsia="仿宋_GB2312"/>
          <w:b w:val="false"/>
          <w:sz w:val="32"/>
        </w:rPr>
        <w:t xml:space="preserve">   2079999其他文化体育与传媒支出2.08万元；</w:t>
      </w:r>
    </w:p>
    <w:p>
      <w:pPr>
        <w:ind w:firstLine="480"/>
        <w:jc w:val="both"/>
      </w:pPr>
      <w:r>
        <w:rPr>
          <w:rFonts w:ascii="仿宋_GB2312" w:hAnsi="仿宋_GB2312" w:cs="仿宋_GB2312" w:eastAsia="仿宋_GB2312"/>
          <w:b w:val="false"/>
          <w:sz w:val="32"/>
        </w:rPr>
        <w:t xml:space="preserve">   2080505机关事业单位基本养老保险缴费支出160.03万元；</w:t>
      </w:r>
    </w:p>
    <w:p>
      <w:pPr>
        <w:ind w:firstLine="480"/>
        <w:jc w:val="both"/>
      </w:pPr>
      <w:r>
        <w:rPr>
          <w:rFonts w:ascii="仿宋_GB2312" w:hAnsi="仿宋_GB2312" w:cs="仿宋_GB2312" w:eastAsia="仿宋_GB2312"/>
          <w:b w:val="false"/>
          <w:sz w:val="32"/>
        </w:rPr>
        <w:t xml:space="preserve">   2080799其他就业补助支出9.86万元；</w:t>
      </w:r>
    </w:p>
    <w:p>
      <w:pPr>
        <w:ind w:firstLine="480"/>
        <w:jc w:val="both"/>
      </w:pPr>
      <w:r>
        <w:rPr>
          <w:rFonts w:ascii="仿宋_GB2312" w:hAnsi="仿宋_GB2312" w:cs="仿宋_GB2312" w:eastAsia="仿宋_GB2312"/>
          <w:b w:val="false"/>
          <w:sz w:val="32"/>
        </w:rPr>
        <w:t xml:space="preserve">   2089901其他社会保障和就业支出255.66万元；</w:t>
      </w:r>
    </w:p>
    <w:p>
      <w:pPr>
        <w:ind w:firstLine="480"/>
        <w:jc w:val="both"/>
      </w:pPr>
      <w:r>
        <w:rPr>
          <w:rFonts w:ascii="仿宋_GB2312" w:hAnsi="仿宋_GB2312" w:cs="仿宋_GB2312" w:eastAsia="仿宋_GB2312"/>
          <w:b w:val="false"/>
          <w:sz w:val="32"/>
        </w:rPr>
        <w:t xml:space="preserve">   2100799其他计划生育事务支出60.80万元；</w:t>
      </w:r>
    </w:p>
    <w:p>
      <w:pPr>
        <w:ind w:firstLine="480"/>
        <w:jc w:val="both"/>
      </w:pPr>
      <w:r>
        <w:rPr>
          <w:rFonts w:ascii="仿宋_GB2312" w:hAnsi="仿宋_GB2312" w:cs="仿宋_GB2312" w:eastAsia="仿宋_GB2312"/>
          <w:b w:val="false"/>
          <w:sz w:val="32"/>
        </w:rPr>
        <w:t xml:space="preserve">   2130104事业运行支出149.96万元；</w:t>
      </w:r>
    </w:p>
    <w:p>
      <w:pPr>
        <w:ind w:firstLine="480"/>
        <w:jc w:val="both"/>
      </w:pPr>
      <w:r>
        <w:rPr>
          <w:rFonts w:ascii="仿宋_GB2312" w:hAnsi="仿宋_GB2312" w:cs="仿宋_GB2312" w:eastAsia="仿宋_GB2312"/>
          <w:b w:val="false"/>
          <w:sz w:val="32"/>
        </w:rPr>
        <w:t xml:space="preserve">   2130121农业结构调整补贴支出330万元；</w:t>
      </w:r>
    </w:p>
    <w:p>
      <w:pPr>
        <w:ind w:firstLine="480"/>
        <w:jc w:val="both"/>
      </w:pPr>
      <w:r>
        <w:rPr>
          <w:rFonts w:ascii="仿宋_GB2312" w:hAnsi="仿宋_GB2312" w:cs="仿宋_GB2312" w:eastAsia="仿宋_GB2312"/>
          <w:b w:val="false"/>
          <w:sz w:val="32"/>
        </w:rPr>
        <w:t xml:space="preserve">   2130122农业生产支持补贴支出49.01万元；</w:t>
      </w:r>
    </w:p>
    <w:p>
      <w:pPr>
        <w:ind w:firstLine="480"/>
        <w:jc w:val="both"/>
      </w:pPr>
      <w:r>
        <w:rPr>
          <w:rFonts w:ascii="仿宋_GB2312" w:hAnsi="仿宋_GB2312" w:cs="仿宋_GB2312" w:eastAsia="仿宋_GB2312"/>
          <w:b w:val="false"/>
          <w:sz w:val="32"/>
        </w:rPr>
        <w:t xml:space="preserve">   2130135农业资源保护修复与利用支出44.38万元；</w:t>
      </w:r>
    </w:p>
    <w:p>
      <w:pPr>
        <w:ind w:firstLine="480"/>
        <w:jc w:val="both"/>
      </w:pPr>
      <w:r>
        <w:rPr>
          <w:rFonts w:ascii="仿宋_GB2312" w:hAnsi="仿宋_GB2312" w:cs="仿宋_GB2312" w:eastAsia="仿宋_GB2312"/>
          <w:b w:val="false"/>
          <w:sz w:val="32"/>
        </w:rPr>
        <w:t xml:space="preserve">   2130152对高校毕业生到基层任职补助支出15.04万元；</w:t>
      </w:r>
    </w:p>
    <w:p>
      <w:pPr>
        <w:ind w:firstLine="480"/>
        <w:jc w:val="both"/>
      </w:pPr>
      <w:r>
        <w:rPr>
          <w:rFonts w:ascii="仿宋_GB2312" w:hAnsi="仿宋_GB2312" w:cs="仿宋_GB2312" w:eastAsia="仿宋_GB2312"/>
          <w:b w:val="false"/>
          <w:sz w:val="32"/>
        </w:rPr>
        <w:t xml:space="preserve">   2130199其他农业支出220万元；</w:t>
      </w:r>
    </w:p>
    <w:p>
      <w:pPr>
        <w:ind w:firstLine="480"/>
        <w:jc w:val="both"/>
      </w:pPr>
      <w:r>
        <w:rPr>
          <w:rFonts w:ascii="仿宋_GB2312" w:hAnsi="仿宋_GB2312" w:cs="仿宋_GB2312" w:eastAsia="仿宋_GB2312"/>
          <w:b w:val="false"/>
          <w:sz w:val="32"/>
        </w:rPr>
        <w:t xml:space="preserve">   2130204事业机构支出33.70万元；</w:t>
      </w:r>
    </w:p>
    <w:p>
      <w:pPr>
        <w:ind w:firstLine="480"/>
        <w:jc w:val="both"/>
      </w:pPr>
      <w:r>
        <w:rPr>
          <w:rFonts w:ascii="仿宋_GB2312" w:hAnsi="仿宋_GB2312" w:cs="仿宋_GB2312" w:eastAsia="仿宋_GB2312"/>
          <w:b w:val="false"/>
          <w:sz w:val="32"/>
        </w:rPr>
        <w:t xml:space="preserve">   2130207森林资源管理支出113.75万元；</w:t>
      </w:r>
    </w:p>
    <w:p>
      <w:pPr>
        <w:ind w:firstLine="480"/>
        <w:jc w:val="both"/>
      </w:pPr>
      <w:r>
        <w:rPr>
          <w:rFonts w:ascii="仿宋_GB2312" w:hAnsi="仿宋_GB2312" w:cs="仿宋_GB2312" w:eastAsia="仿宋_GB2312"/>
          <w:b w:val="false"/>
          <w:sz w:val="32"/>
        </w:rPr>
        <w:t xml:space="preserve">   2130504农村基础设施建设支出215.82万元；</w:t>
      </w:r>
    </w:p>
    <w:p>
      <w:pPr>
        <w:ind w:firstLine="480"/>
        <w:jc w:val="both"/>
      </w:pPr>
      <w:r>
        <w:rPr>
          <w:rFonts w:ascii="仿宋_GB2312" w:hAnsi="仿宋_GB2312" w:cs="仿宋_GB2312" w:eastAsia="仿宋_GB2312"/>
          <w:b w:val="false"/>
          <w:sz w:val="32"/>
        </w:rPr>
        <w:t xml:space="preserve">   2130505生产发展支出255.14万元；</w:t>
      </w:r>
    </w:p>
    <w:p>
      <w:pPr>
        <w:ind w:firstLine="480"/>
        <w:jc w:val="both"/>
      </w:pPr>
      <w:r>
        <w:rPr>
          <w:rFonts w:ascii="仿宋_GB2312" w:hAnsi="仿宋_GB2312" w:cs="仿宋_GB2312" w:eastAsia="仿宋_GB2312"/>
          <w:b w:val="false"/>
          <w:sz w:val="32"/>
        </w:rPr>
        <w:t xml:space="preserve">   2139999其他农林水支出1,173.67万元；</w:t>
      </w:r>
    </w:p>
    <w:p>
      <w:pPr>
        <w:ind w:firstLine="480"/>
        <w:jc w:val="both"/>
      </w:pPr>
      <w:r>
        <w:rPr>
          <w:rFonts w:ascii="仿宋_GB2312" w:hAnsi="仿宋_GB2312" w:cs="仿宋_GB2312" w:eastAsia="仿宋_GB2312"/>
          <w:b w:val="false"/>
          <w:sz w:val="32"/>
        </w:rPr>
        <w:t xml:space="preserve">   2210105农村危房改造支出1,787.35万元；</w:t>
      </w:r>
    </w:p>
    <w:p>
      <w:pPr>
        <w:ind w:firstLine="480"/>
        <w:jc w:val="both"/>
      </w:pPr>
      <w:r>
        <w:rPr>
          <w:rFonts w:ascii="仿宋_GB2312" w:hAnsi="仿宋_GB2312" w:cs="仿宋_GB2312" w:eastAsia="仿宋_GB2312"/>
          <w:b w:val="false"/>
          <w:sz w:val="32"/>
        </w:rPr>
        <w:t xml:space="preserve">   2210201住房公积金支出120.35万元；</w:t>
      </w:r>
    </w:p>
    <w:p>
      <w:pPr>
        <w:ind w:firstLine="480"/>
        <w:jc w:val="both"/>
      </w:pPr>
      <w:r>
        <w:rPr>
          <w:rFonts w:ascii="仿宋_GB2312" w:hAnsi="仿宋_GB2312" w:cs="仿宋_GB2312" w:eastAsia="仿宋_GB2312"/>
          <w:b w:val="false"/>
          <w:sz w:val="32"/>
        </w:rPr>
        <w:t xml:space="preserve">   2299901其他支出324.54万元。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2019年度一般公共预算财政拨款基本支出1,589.46万元，其中：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1,519.71万元，包括：基本工资、津贴补贴、奖金、绩效工资、机关事业单位基本养老保险缴费、职工基本医疗保险缴费、公务员医疗补助缴费、其他社会保障缴费、住房公积金、其他工资福利支出、退休费、抚恤金、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公用经费69.76万元，包括：办公费、印刷费、手续费、电费、邮电费、维修（护）费、劳务费、公务用车运行维护费、其他商品和服务支出。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2.92万元，比上年减少35.71万元，降低92.44%，主要原因是厉行节约，压缩“三公”经费开支。其中，因公出国（境）费支出0万元，占0%，比上年增加0万元，增长0%，主要原因是与上年相比无变动，与上年一致；公务用车购置及运行维护费支出2.92万元，占100%，比上年减少35.71万元，降低92.44%，主要原因是厉行节约，压缩“三公”经费开支；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2.92万元，其中，公务用车购置费0万元，公务用车运行维护费2.92万元。公务用车运行维护费开支内容包括汽车油料、维护费、保险费、车辆年检费。公务用车购置数0辆，公务用车保有量6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3.12万元，决算数2.92万元，预决算差异率-6.41%，主要原因是：财力有限，压缩“三公”经费开支，部分车辆运行维护费未使用，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2.92万元，预决算差异率-6.41%，主要原因是：财力有限，压缩“三公”经费开支，部分车辆运行维护费未使用，因此决算数小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58.66万元，与上年相比，减少147.93万元，下降71.61%，主要原因是：上级专项资金较去年减少。政府性基金预算支出116.53万元，与上年相比，减少14.04万元，下降10.75%，主要原因是：上级专项资金较去年减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2019年度新疆喀什地区麦盖提县尕孜库勒乡人民政府机关运行经费支出69.76万元，比上年减少76.65万元，降低52.35%，主要原因是厉行节约，压减一切不必要的开支，日常办公经费较去年减少。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2019年度政府采购支出总额534.60万元，其中：政府采购货物支出534.19万元、政府采购工程支出0万元、政府采购服务支出0.41万元。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授予中小企业合同金额534.60万元，占政府采购支出总额的100%，其中：授予小微企业合同金额534.19万元，占政府采购支出总额的99.92%。</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7,334.03（平方米），价值512.65万元。车辆6辆，价值60.02万元，其中：副部（省）级及以上领导用车0辆、主要领导干部用车0辆、机要通信用车0辆、应急保障用车0辆、执法执勤用车0辆、特种专业技术用车0辆、离退休干部用车0辆、其他用车6辆，其他用车主要是：一般公务用车；单位价值50万元以上通用设备1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3876.66万元。预算绩效管理取得的成效：1、村民服务中心建设：改善办公、生活环境，提高工作效率，增加村民文化娱乐场所的环境，改善周边基本环境，美化乡村，满足群众民主议事、宣传教育、技能培训、文艺演出、婚丧嫁娶、农民夜校、大宣讲、各种节日庆祝，都能保证实施，改善人居环境，方便群众生活，提高人民幸福感和生活水平；2、经费类项目：开展金银花种植示范，带动贫困户增收致富，加大对多处重点防洪坝及敏感水域的日常巡逻，有效提升防洪工作效率，保障民生生活生产安全 ，农村富余劳动力转移就业培训经费，发展生产力，扩大农村劳动力就业，发展劳务经济，增加农民收入。加快经济发展进程，为人民整体生产生活提供方便，改善农民生产生活环境；3、人员补贴项目：巩固农村干部和党员队伍，增强党组织的凝聚力和战斗力，加快农村经济发展，保持社会安定，天池计划人员采取培养锻炼、政策激励模式，从思想、工作、生活等方面加强“天池计划”人员的关心关爱力度，保障困难群众，优抚对象，等特殊群体生活的资金，给困难群众提供基本的生活保障，在沙漠上开展了多项的技术，带动当地人带头种植植物，，规范宗教场所，宣传正确宗教文化，引导群众在清真寺进行宗教活动。发现的问题及原因：前期项目开展缓慢，导致了资金滞缓，影响了项目的进度。下一步改进措施：项目启动时同步做好档案的归纳与整理，及时整理、收集、汇总，健全档案资料。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zR20JznnV7jluIyOREpXuA==" w:hash="8DydEYXkTY0SZBSrE9iVhfDoZXM="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