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DAFC1" w14:textId="77777777" w:rsidR="008853A8" w:rsidRDefault="008853A8">
      <w:pPr>
        <w:rPr>
          <w:rFonts w:ascii="黑体" w:eastAsia="黑体" w:hAnsi="黑体"/>
          <w:sz w:val="32"/>
          <w:szCs w:val="32"/>
        </w:rPr>
      </w:pPr>
      <w:r>
        <w:rPr>
          <w:rFonts w:ascii="黑体" w:eastAsia="黑体" w:hAnsi="黑体" w:hint="eastAsia"/>
          <w:sz w:val="32"/>
          <w:szCs w:val="32"/>
        </w:rPr>
        <w:t>附件：</w:t>
      </w:r>
    </w:p>
    <w:p w14:paraId="611C3882" w14:textId="77777777" w:rsidR="008853A8" w:rsidRDefault="008853A8">
      <w:pPr>
        <w:jc w:val="center"/>
        <w:rPr>
          <w:rFonts w:ascii="方正小标宋_GBK" w:eastAsia="方正小标宋_GBK" w:hAnsi="宋体"/>
          <w:sz w:val="44"/>
          <w:szCs w:val="44"/>
        </w:rPr>
      </w:pPr>
    </w:p>
    <w:p w14:paraId="12B0B250" w14:textId="77777777" w:rsidR="008853A8" w:rsidRDefault="008853A8">
      <w:pPr>
        <w:jc w:val="center"/>
        <w:rPr>
          <w:rFonts w:ascii="方正小标宋_GBK" w:eastAsia="方正小标宋_GBK" w:hAnsi="宋体"/>
          <w:sz w:val="44"/>
          <w:szCs w:val="44"/>
        </w:rPr>
      </w:pPr>
    </w:p>
    <w:p w14:paraId="1FB56DCC" w14:textId="77777777" w:rsidR="008853A8" w:rsidRDefault="008853A8">
      <w:pPr>
        <w:jc w:val="center"/>
        <w:rPr>
          <w:rFonts w:ascii="方正小标宋_GBK" w:eastAsia="方正小标宋_GBK" w:hAnsi="宋体"/>
          <w:sz w:val="44"/>
          <w:szCs w:val="44"/>
        </w:rPr>
      </w:pPr>
    </w:p>
    <w:p w14:paraId="0E41F092" w14:textId="77777777" w:rsidR="008853A8" w:rsidRDefault="008853A8">
      <w:pPr>
        <w:jc w:val="center"/>
        <w:rPr>
          <w:rFonts w:ascii="方正小标宋_GBK" w:eastAsia="方正小标宋_GBK" w:hAnsi="宋体"/>
          <w:sz w:val="44"/>
          <w:szCs w:val="44"/>
        </w:rPr>
      </w:pPr>
    </w:p>
    <w:p w14:paraId="0ACE5469" w14:textId="35972067" w:rsidR="008853A8" w:rsidRDefault="00377EC6">
      <w:pPr>
        <w:jc w:val="center"/>
        <w:rPr>
          <w:rFonts w:ascii="方正小标宋_GBK" w:eastAsia="方正小标宋_GBK" w:hAnsi="宋体"/>
          <w:sz w:val="44"/>
          <w:szCs w:val="44"/>
        </w:rPr>
      </w:pPr>
      <w:r>
        <w:rPr>
          <w:rFonts w:ascii="方正小标宋_GBK" w:hAnsi="方正小标宋_GBK" w:cs="方正小标宋_GBK" w:eastAsia="方正小标宋_GBK"/>
          <w:sz w:val="44"/>
        </w:rPr>
        <w:t>新疆喀什地区麦盖提县央塔克乡人民政府2019年度部门决算公开说明</w:t>
      </w:r>
    </w:p>
    <w:p w14:paraId="2888F532" w14:textId="77777777"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t>目 录</w:t>
      </w:r>
    </w:p>
    <w:p w14:paraId="293349B8" w14:textId="77777777" w:rsidR="008853A8" w:rsidRDefault="008853A8">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14:paraId="2F9FE76B"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14:paraId="247DC9F7"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14:paraId="08B9D742" w14:textId="77777777" w:rsidR="008853A8" w:rsidRDefault="0088099A">
      <w:pPr>
        <w:pStyle w:val="TOC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14:paraId="5C83C03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14:paraId="4572C60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14:paraId="5F2369D5"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14:paraId="6C9FFD2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14:paraId="50C0774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14:paraId="02AD714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14:paraId="52DEB1D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14:paraId="445A50AA"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14:paraId="57D5716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14:paraId="326B9E76"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14:paraId="65AAD0E2"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14:paraId="651C5AE5"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14:paraId="0BD7F98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14:paraId="778B9C6E" w14:textId="77777777" w:rsidR="008853A8" w:rsidRDefault="0088099A">
      <w:pPr>
        <w:pStyle w:val="TOC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14:paraId="41FD2E9B" w14:textId="77777777" w:rsidR="008853A8" w:rsidRDefault="0088099A">
      <w:pPr>
        <w:pStyle w:val="TOC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14:paraId="28F1D9E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14:paraId="61408A5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14:paraId="04072FC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14:paraId="22BFA8E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14:paraId="2DC04D36"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14:paraId="455EE489"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14:paraId="6472466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14:paraId="0F03566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14:paraId="0E1577DF" w14:textId="77777777" w:rsidR="008853A8" w:rsidRDefault="008853A8">
      <w:r>
        <w:rPr>
          <w:rFonts w:ascii="仿宋_GB2312" w:eastAsia="仿宋_GB2312" w:hAnsi="仿宋_GB2312" w:cs="仿宋_GB2312" w:hint="eastAsia"/>
          <w:sz w:val="32"/>
          <w:szCs w:val="32"/>
        </w:rPr>
        <w:fldChar w:fldCharType="end"/>
      </w:r>
    </w:p>
    <w:p w14:paraId="68A45511" w14:textId="77777777"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t>第一部分 部门单位概况</w:t>
      </w:r>
      <w:bookmarkEnd w:id="0"/>
      <w:bookmarkEnd w:id="1"/>
    </w:p>
    <w:p w14:paraId="036049B7" w14:textId="77777777"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pPr>
        <w:ind w:firstLine="480"/>
        <w:jc w:val="both"/>
      </w:pPr>
      <w:r>
        <w:rPr>
          <w:rFonts w:ascii="仿宋_GB2312" w:hAnsi="仿宋_GB2312" w:cs="仿宋_GB2312" w:eastAsia="仿宋_GB2312"/>
          <w:b w:val="false"/>
          <w:sz w:val="32"/>
        </w:rPr>
        <w:t>1、促进经济发展。制定实施本乡经济发展规划，发展壮大农村集体经济，大力发展农村个体私营等非公有制经济，推进农村市场经济体系的建设，促进农民增收。</w:t>
      </w:r>
    </w:p>
    <w:p>
      <w:pPr>
        <w:ind w:firstLine="480"/>
        <w:jc w:val="both"/>
      </w:pPr>
      <w:r>
        <w:rPr>
          <w:rFonts w:ascii="仿宋_GB2312" w:hAnsi="仿宋_GB2312" w:cs="仿宋_GB2312" w:eastAsia="仿宋_GB2312"/>
          <w:b w:val="false"/>
          <w:sz w:val="32"/>
        </w:rPr>
        <w:t>2、维护社会安定。加强社会治安综合治理，综合协调平安建设工作，强化信访，调解工作，化解农村社会矛盾；抓好法制宣传和普法教育，增强干部群众的法制意识。</w:t>
      </w:r>
    </w:p>
    <w:p>
      <w:pPr>
        <w:ind w:firstLine="480"/>
        <w:jc w:val="both"/>
      </w:pPr>
      <w:r>
        <w:rPr>
          <w:rFonts w:ascii="仿宋_GB2312" w:hAnsi="仿宋_GB2312" w:cs="仿宋_GB2312" w:eastAsia="仿宋_GB2312"/>
          <w:b w:val="false"/>
          <w:sz w:val="32"/>
        </w:rPr>
        <w:t>3、加强社会管理。制度实施本乡社会发展规划，负责管理教育，文化，卫生，等社会事业和计划生育，配合上级有关部门做好。</w:t>
      </w:r>
    </w:p>
    <w:p>
      <w:pPr>
        <w:ind w:firstLine="480"/>
        <w:jc w:val="both"/>
      </w:pPr>
      <w:r>
        <w:rPr>
          <w:rFonts w:ascii="仿宋_GB2312" w:hAnsi="仿宋_GB2312" w:cs="仿宋_GB2312" w:eastAsia="仿宋_GB2312"/>
          <w:b w:val="false"/>
          <w:sz w:val="32"/>
        </w:rPr>
        <w:t>4、搞好公共服务。加强基础设施建设，发展农村社会公共事业和集体公益事业，鼓励和扶持社会力量举办为“三农”服务的公益性机构和经济实体。</w:t>
      </w:r>
    </w:p>
    <w:p w14:paraId="22BD2715" w14:textId="3A98898C"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8E18313" w14:textId="72E3148E" w:rsidR="001F777A" w:rsidRPr="001F777A" w:rsidRDefault="001F777A" w:rsidP="001F777A">
      <w:pPr>
        <w:ind w:firstLineChars="200" w:firstLine="640"/>
      </w:pPr>
      <w:r>
        <w:rPr>
          <w:rFonts w:ascii="仿宋_GB2312" w:hAnsi="仿宋_GB2312" w:cs="仿宋_GB2312" w:eastAsia="仿宋_GB2312"/>
          <w:sz w:val="32"/>
        </w:rPr>
        <w:t>新疆喀什地区麦盖提县央塔克乡人民政府2019年度，实有人数172人，其中：在职人员148人，离休人员0人，退休人员24人。</w:t>
      </w:r>
    </w:p>
    <w:p w14:paraId="65B8FE61" w14:textId="77777777" w:rsidR="00862395" w:rsidRDefault="00862395" w:rsidP="00862395">
      <w:pPr>
        <w:ind w:firstLineChars="200" w:firstLine="640"/>
        <w:rPr>
          <w:rFonts w:ascii="仿宋_GB2312" w:eastAsia="仿宋_GB2312"/>
          <w:sz w:val="32"/>
          <w:szCs w:val="32"/>
        </w:rPr>
      </w:pPr>
      <w:r>
        <w:rPr>
          <w:rFonts w:ascii="仿宋_GB2312" w:hAnsi="仿宋_GB2312" w:cs="仿宋_GB2312" w:eastAsia="仿宋_GB2312"/>
          <w:sz w:val="32"/>
        </w:rPr>
        <w:t>从部门决算单位构成看，新疆喀什地区麦盖提县央塔克乡人民政府部门决算包括：新疆喀什地区麦盖提县央塔克乡人民政府决算。</w:t>
      </w:r>
    </w:p>
    <w:p w14:paraId="2C581B27" w14:textId="77777777"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14:paraId="4B167492" w14:textId="77777777"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782D0DE" w14:textId="3E55FEDD" w:rsidR="008853A8" w:rsidRDefault="007E3BFD">
      <w:pPr>
        <w:ind w:firstLineChars="200" w:firstLine="640"/>
        <w:rPr>
          <w:rFonts w:ascii="仿宋_GB2312" w:eastAsia="仿宋_GB2312"/>
          <w:sz w:val="32"/>
          <w:szCs w:val="32"/>
        </w:rPr>
      </w:pPr>
      <w:r>
        <w:rPr>
          <w:rFonts w:ascii="仿宋_GB2312" w:hAnsi="仿宋_GB2312" w:cs="仿宋_GB2312" w:eastAsia="仿宋_GB2312"/>
          <w:sz w:val="32"/>
        </w:rPr>
        <w:t>2019年度本年收入9,407.70万元，与上年相比，减少9,602.79万元，下降50.51%，主要原因是：其他收入较去年减少。本年支出10,472.43万元，与上年相比，减少7,232.57万元，下降40.85%，主要原因是：其他收入较去年减少。</w:t>
      </w:r>
    </w:p>
    <w:p w14:paraId="3093A798" w14:textId="77777777"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B914EFB" w14:textId="75DF8F00" w:rsidR="008853A8" w:rsidRDefault="00125A6F">
      <w:pPr>
        <w:ind w:firstLineChars="200" w:firstLine="640"/>
        <w:rPr>
          <w:rFonts w:ascii="仿宋_GB2312" w:eastAsia="仿宋_GB2312"/>
          <w:sz w:val="32"/>
          <w:szCs w:val="32"/>
        </w:rPr>
      </w:pPr>
      <w:r>
        <w:rPr>
          <w:rFonts w:ascii="仿宋_GB2312" w:hAnsi="仿宋_GB2312" w:cs="仿宋_GB2312" w:eastAsia="仿宋_GB2312"/>
          <w:sz w:val="32"/>
        </w:rPr>
        <w:t>2019年度本年收入9,407.70万元，其中：财政拨款收入9,138.31万元，占97.14%；上级补助收入0万元，占0%；事业收入0万元，占0%；经营收入0万元，占0%；附属单位上缴收入0万元，占0%；其他收入269.39万元，占2.86%。</w:t>
      </w:r>
    </w:p>
    <w:p w14:paraId="008FC815" w14:textId="77777777"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6FB7964" w14:textId="23D4D7B7" w:rsidR="008853A8" w:rsidRDefault="00233021">
      <w:pPr>
        <w:ind w:firstLineChars="200" w:firstLine="640"/>
        <w:rPr>
          <w:rFonts w:ascii="仿宋_GB2312" w:eastAsia="仿宋_GB2312"/>
          <w:sz w:val="32"/>
          <w:szCs w:val="32"/>
        </w:rPr>
      </w:pPr>
      <w:r>
        <w:rPr>
          <w:rFonts w:ascii="仿宋_GB2312" w:hAnsi="仿宋_GB2312" w:cs="仿宋_GB2312" w:eastAsia="仿宋_GB2312"/>
          <w:sz w:val="32"/>
        </w:rPr>
        <w:t>2019年度本年支出10,472.43万元，其中：基本支出2,031.78万元，占19.4%；项目支出8,440.65万元，占80.6%；上缴上级支出0万元，占0%；经营支出0万元，占0%；对附属单位补助支出0万元，占0%。</w:t>
      </w:r>
    </w:p>
    <w:p w14:paraId="186CA7CE" w14:textId="77777777"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B6E4AD7" w14:textId="100B88EF" w:rsidR="008853A8" w:rsidRPr="001848EE" w:rsidRDefault="001C2D35">
      <w:pPr>
        <w:ind w:firstLineChars="200" w:firstLine="640"/>
        <w:rPr>
          <w:rFonts w:ascii="仿宋_GB2312" w:eastAsia="仿宋_GB2312"/>
          <w:sz w:val="32"/>
          <w:szCs w:val="32"/>
        </w:rPr>
      </w:pPr>
      <w:r>
        <w:rPr>
          <w:rFonts w:ascii="仿宋_GB2312" w:hAnsi="仿宋_GB2312" w:cs="仿宋_GB2312" w:eastAsia="仿宋_GB2312"/>
          <w:sz w:val="32"/>
        </w:rPr>
        <w:t>2019年度财政拨款收入9,138.31万元，与上年相比，增加346.30万元，增长3.94%，主要原因是：上级专项资金较去年增加。财政拨款支出9,212.91万元，与上年相比，增加547.81万元，增长6.32%，主要原因是：上级专项资金较去年增加。</w:t>
      </w:r>
    </w:p>
    <w:p w14:paraId="7139D063" w14:textId="11D128B6"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财政拨款收入年初预算数2,580.18万元，决算数9,138.31万元，预决算差异率254.17%，主要原因是：年初预算只有本级项目以及预告知的项目，后期到达的部分专项资金通过预算追加下达，因此决算数大于年初预算数。财政拨款支出年初预算数2,580.18万元，决算数9,212.91万元，预决算差异率257.06%，主要原因是：年初预算只有本级项目以及预告知的项目，后期到达的部分专项资金通过预算追加下达，因此决算数大于年初预算数。</w:t>
      </w:r>
    </w:p>
    <w:p w14:paraId="51FC69F3" w14:textId="77777777"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B797ACC" w14:textId="2DDC565C" w:rsidR="008853A8" w:rsidRDefault="005529D0">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2019年度一般公共预算财政拨款支出9,129.95万元。按功能分类科目项级科目公开，其中：</w:t>
      </w:r>
    </w:p>
    <w:p>
      <w:pPr>
        <w:ind w:firstLine="480"/>
        <w:jc w:val="both"/>
      </w:pPr>
      <w:r>
        <w:rPr>
          <w:rFonts w:ascii="仿宋_GB2312" w:hAnsi="仿宋_GB2312" w:cs="仿宋_GB2312" w:eastAsia="仿宋_GB2312"/>
          <w:b w:val="false"/>
          <w:sz w:val="32"/>
        </w:rPr>
        <w:t xml:space="preserve">   2010301行政运行支出1,154.16万元；</w:t>
      </w:r>
    </w:p>
    <w:p>
      <w:pPr>
        <w:ind w:firstLine="480"/>
        <w:jc w:val="both"/>
      </w:pPr>
      <w:r>
        <w:rPr>
          <w:rFonts w:ascii="仿宋_GB2312" w:hAnsi="仿宋_GB2312" w:cs="仿宋_GB2312" w:eastAsia="仿宋_GB2312"/>
          <w:b w:val="false"/>
          <w:sz w:val="32"/>
        </w:rPr>
        <w:t xml:space="preserve">   2010601行政运行支出10.35万元；</w:t>
      </w:r>
    </w:p>
    <w:p>
      <w:pPr>
        <w:ind w:firstLine="480"/>
        <w:jc w:val="both"/>
      </w:pPr>
      <w:r>
        <w:rPr>
          <w:rFonts w:ascii="仿宋_GB2312" w:hAnsi="仿宋_GB2312" w:cs="仿宋_GB2312" w:eastAsia="仿宋_GB2312"/>
          <w:b w:val="false"/>
          <w:sz w:val="32"/>
        </w:rPr>
        <w:t xml:space="preserve">   2011001行政运行支出53.42万元；</w:t>
      </w:r>
    </w:p>
    <w:p>
      <w:pPr>
        <w:ind w:firstLine="480"/>
        <w:jc w:val="both"/>
      </w:pPr>
      <w:r>
        <w:rPr>
          <w:rFonts w:ascii="仿宋_GB2312" w:hAnsi="仿宋_GB2312" w:cs="仿宋_GB2312" w:eastAsia="仿宋_GB2312"/>
          <w:b w:val="false"/>
          <w:sz w:val="32"/>
        </w:rPr>
        <w:t xml:space="preserve">   2011102一般行政管理事务支出5万元；</w:t>
      </w:r>
    </w:p>
    <w:p>
      <w:pPr>
        <w:ind w:firstLine="480"/>
        <w:jc w:val="both"/>
      </w:pPr>
      <w:r>
        <w:rPr>
          <w:rFonts w:ascii="仿宋_GB2312" w:hAnsi="仿宋_GB2312" w:cs="仿宋_GB2312" w:eastAsia="仿宋_GB2312"/>
          <w:b w:val="false"/>
          <w:sz w:val="32"/>
        </w:rPr>
        <w:t xml:space="preserve">   2013101行政运行支出75.92万元；</w:t>
      </w:r>
    </w:p>
    <w:p>
      <w:pPr>
        <w:ind w:firstLine="480"/>
        <w:jc w:val="both"/>
      </w:pPr>
      <w:r>
        <w:rPr>
          <w:rFonts w:ascii="仿宋_GB2312" w:hAnsi="仿宋_GB2312" w:cs="仿宋_GB2312" w:eastAsia="仿宋_GB2312"/>
          <w:b w:val="false"/>
          <w:sz w:val="32"/>
        </w:rPr>
        <w:t xml:space="preserve">   2013299其他组织事务支出1,166.16万元；</w:t>
      </w:r>
    </w:p>
    <w:p>
      <w:pPr>
        <w:ind w:firstLine="480"/>
        <w:jc w:val="both"/>
      </w:pPr>
      <w:r>
        <w:rPr>
          <w:rFonts w:ascii="仿宋_GB2312" w:hAnsi="仿宋_GB2312" w:cs="仿宋_GB2312" w:eastAsia="仿宋_GB2312"/>
          <w:b w:val="false"/>
          <w:sz w:val="32"/>
        </w:rPr>
        <w:t xml:space="preserve">   2013499其他统战事务支出98.37万元；</w:t>
      </w:r>
    </w:p>
    <w:p>
      <w:pPr>
        <w:ind w:firstLine="480"/>
        <w:jc w:val="both"/>
      </w:pPr>
      <w:r>
        <w:rPr>
          <w:rFonts w:ascii="仿宋_GB2312" w:hAnsi="仿宋_GB2312" w:cs="仿宋_GB2312" w:eastAsia="仿宋_GB2312"/>
          <w:b w:val="false"/>
          <w:sz w:val="32"/>
        </w:rPr>
        <w:t xml:space="preserve">   2019999其他一般公共服务支出52.34万元；</w:t>
      </w:r>
    </w:p>
    <w:p>
      <w:pPr>
        <w:ind w:firstLine="480"/>
        <w:jc w:val="both"/>
      </w:pPr>
      <w:r>
        <w:rPr>
          <w:rFonts w:ascii="仿宋_GB2312" w:hAnsi="仿宋_GB2312" w:cs="仿宋_GB2312" w:eastAsia="仿宋_GB2312"/>
          <w:b w:val="false"/>
          <w:sz w:val="32"/>
        </w:rPr>
        <w:t xml:space="preserve">   2040601行政运行支出11.80万元；</w:t>
      </w:r>
    </w:p>
    <w:p>
      <w:pPr>
        <w:ind w:firstLine="480"/>
        <w:jc w:val="both"/>
      </w:pPr>
      <w:r>
        <w:rPr>
          <w:rFonts w:ascii="仿宋_GB2312" w:hAnsi="仿宋_GB2312" w:cs="仿宋_GB2312" w:eastAsia="仿宋_GB2312"/>
          <w:b w:val="false"/>
          <w:sz w:val="32"/>
        </w:rPr>
        <w:t xml:space="preserve">   2050299其他普通教育支出7.20万元；</w:t>
      </w:r>
    </w:p>
    <w:p>
      <w:pPr>
        <w:ind w:firstLine="480"/>
        <w:jc w:val="both"/>
      </w:pPr>
      <w:r>
        <w:rPr>
          <w:rFonts w:ascii="仿宋_GB2312" w:hAnsi="仿宋_GB2312" w:cs="仿宋_GB2312" w:eastAsia="仿宋_GB2312"/>
          <w:b w:val="false"/>
          <w:sz w:val="32"/>
        </w:rPr>
        <w:t xml:space="preserve">   2070109群众文化支出23.86万元；</w:t>
      </w:r>
    </w:p>
    <w:p>
      <w:pPr>
        <w:ind w:firstLine="480"/>
        <w:jc w:val="both"/>
      </w:pPr>
      <w:r>
        <w:rPr>
          <w:rFonts w:ascii="仿宋_GB2312" w:hAnsi="仿宋_GB2312" w:cs="仿宋_GB2312" w:eastAsia="仿宋_GB2312"/>
          <w:b w:val="false"/>
          <w:sz w:val="32"/>
        </w:rPr>
        <w:t xml:space="preserve">   2070199其他文化和旅游支出5万元；</w:t>
      </w:r>
    </w:p>
    <w:p>
      <w:pPr>
        <w:ind w:firstLine="480"/>
        <w:jc w:val="both"/>
      </w:pPr>
      <w:r>
        <w:rPr>
          <w:rFonts w:ascii="仿宋_GB2312" w:hAnsi="仿宋_GB2312" w:cs="仿宋_GB2312" w:eastAsia="仿宋_GB2312"/>
          <w:b w:val="false"/>
          <w:sz w:val="32"/>
        </w:rPr>
        <w:t xml:space="preserve">   2070804广播支出24.32万元；</w:t>
      </w:r>
    </w:p>
    <w:p>
      <w:pPr>
        <w:ind w:firstLine="480"/>
        <w:jc w:val="both"/>
      </w:pPr>
      <w:r>
        <w:rPr>
          <w:rFonts w:ascii="仿宋_GB2312" w:hAnsi="仿宋_GB2312" w:cs="仿宋_GB2312" w:eastAsia="仿宋_GB2312"/>
          <w:b w:val="false"/>
          <w:sz w:val="32"/>
        </w:rPr>
        <w:t xml:space="preserve">   2079999其他文化体育与传媒支出3.30万元；</w:t>
      </w:r>
    </w:p>
    <w:p>
      <w:pPr>
        <w:ind w:firstLine="480"/>
        <w:jc w:val="both"/>
      </w:pPr>
      <w:r>
        <w:rPr>
          <w:rFonts w:ascii="仿宋_GB2312" w:hAnsi="仿宋_GB2312" w:cs="仿宋_GB2312" w:eastAsia="仿宋_GB2312"/>
          <w:b w:val="false"/>
          <w:sz w:val="32"/>
        </w:rPr>
        <w:t xml:space="preserve">   2080505机关事业单位基本养老保险缴费支出187.62万元；</w:t>
      </w:r>
    </w:p>
    <w:p>
      <w:pPr>
        <w:ind w:firstLine="480"/>
        <w:jc w:val="both"/>
      </w:pPr>
      <w:r>
        <w:rPr>
          <w:rFonts w:ascii="仿宋_GB2312" w:hAnsi="仿宋_GB2312" w:cs="仿宋_GB2312" w:eastAsia="仿宋_GB2312"/>
          <w:b w:val="false"/>
          <w:sz w:val="32"/>
        </w:rPr>
        <w:t xml:space="preserve">   2080506机关事业单位职业年金缴费支出2.39万元；</w:t>
      </w:r>
    </w:p>
    <w:p>
      <w:pPr>
        <w:ind w:firstLine="480"/>
        <w:jc w:val="both"/>
      </w:pPr>
      <w:r>
        <w:rPr>
          <w:rFonts w:ascii="仿宋_GB2312" w:hAnsi="仿宋_GB2312" w:cs="仿宋_GB2312" w:eastAsia="仿宋_GB2312"/>
          <w:b w:val="false"/>
          <w:sz w:val="32"/>
        </w:rPr>
        <w:t xml:space="preserve">   2089901其他社会保障和就业支出165.69万元；</w:t>
      </w:r>
    </w:p>
    <w:p>
      <w:pPr>
        <w:ind w:firstLine="480"/>
        <w:jc w:val="both"/>
      </w:pPr>
      <w:r>
        <w:rPr>
          <w:rFonts w:ascii="仿宋_GB2312" w:hAnsi="仿宋_GB2312" w:cs="仿宋_GB2312" w:eastAsia="仿宋_GB2312"/>
          <w:b w:val="false"/>
          <w:sz w:val="32"/>
        </w:rPr>
        <w:t xml:space="preserve">   2100799其他计划生育事务支出67.68万元；</w:t>
      </w:r>
    </w:p>
    <w:p>
      <w:pPr>
        <w:ind w:firstLine="480"/>
        <w:jc w:val="both"/>
      </w:pPr>
      <w:r>
        <w:rPr>
          <w:rFonts w:ascii="仿宋_GB2312" w:hAnsi="仿宋_GB2312" w:cs="仿宋_GB2312" w:eastAsia="仿宋_GB2312"/>
          <w:b w:val="false"/>
          <w:sz w:val="32"/>
        </w:rPr>
        <w:t xml:space="preserve">   2110402农村环境保护支出0万元；</w:t>
      </w:r>
    </w:p>
    <w:p>
      <w:pPr>
        <w:ind w:firstLine="480"/>
        <w:jc w:val="both"/>
      </w:pPr>
      <w:r>
        <w:rPr>
          <w:rFonts w:ascii="仿宋_GB2312" w:hAnsi="仿宋_GB2312" w:cs="仿宋_GB2312" w:eastAsia="仿宋_GB2312"/>
          <w:b w:val="false"/>
          <w:sz w:val="32"/>
        </w:rPr>
        <w:t xml:space="preserve">   2130104事业运行支出237.99万元；</w:t>
      </w:r>
    </w:p>
    <w:p>
      <w:pPr>
        <w:ind w:firstLine="480"/>
        <w:jc w:val="both"/>
      </w:pPr>
      <w:r>
        <w:rPr>
          <w:rFonts w:ascii="仿宋_GB2312" w:hAnsi="仿宋_GB2312" w:cs="仿宋_GB2312" w:eastAsia="仿宋_GB2312"/>
          <w:b w:val="false"/>
          <w:sz w:val="32"/>
        </w:rPr>
        <w:t xml:space="preserve">   2130121农业结构调整补贴支出500万元；</w:t>
      </w:r>
    </w:p>
    <w:p>
      <w:pPr>
        <w:ind w:firstLine="480"/>
        <w:jc w:val="both"/>
      </w:pPr>
      <w:r>
        <w:rPr>
          <w:rFonts w:ascii="仿宋_GB2312" w:hAnsi="仿宋_GB2312" w:cs="仿宋_GB2312" w:eastAsia="仿宋_GB2312"/>
          <w:b w:val="false"/>
          <w:sz w:val="32"/>
        </w:rPr>
        <w:t xml:space="preserve">   2130122农业生产支持补贴支出186.93万元；</w:t>
      </w:r>
    </w:p>
    <w:p>
      <w:pPr>
        <w:ind w:firstLine="480"/>
        <w:jc w:val="both"/>
      </w:pPr>
      <w:r>
        <w:rPr>
          <w:rFonts w:ascii="仿宋_GB2312" w:hAnsi="仿宋_GB2312" w:cs="仿宋_GB2312" w:eastAsia="仿宋_GB2312"/>
          <w:b w:val="false"/>
          <w:sz w:val="32"/>
        </w:rPr>
        <w:t xml:space="preserve">   2130135农业资源保护修复与利用支出92.53万元；</w:t>
      </w:r>
    </w:p>
    <w:p>
      <w:pPr>
        <w:ind w:firstLine="480"/>
        <w:jc w:val="both"/>
      </w:pPr>
      <w:r>
        <w:rPr>
          <w:rFonts w:ascii="仿宋_GB2312" w:hAnsi="仿宋_GB2312" w:cs="仿宋_GB2312" w:eastAsia="仿宋_GB2312"/>
          <w:b w:val="false"/>
          <w:sz w:val="32"/>
        </w:rPr>
        <w:t xml:space="preserve">   2130152对高校毕业生到基层任职补助支出10.83万元；</w:t>
      </w:r>
    </w:p>
    <w:p>
      <w:pPr>
        <w:ind w:firstLine="480"/>
        <w:jc w:val="both"/>
      </w:pPr>
      <w:r>
        <w:rPr>
          <w:rFonts w:ascii="仿宋_GB2312" w:hAnsi="仿宋_GB2312" w:cs="仿宋_GB2312" w:eastAsia="仿宋_GB2312"/>
          <w:b w:val="false"/>
          <w:sz w:val="32"/>
        </w:rPr>
        <w:t xml:space="preserve">   2130204事业机构支出40.78万元；</w:t>
      </w:r>
    </w:p>
    <w:p>
      <w:pPr>
        <w:ind w:firstLine="480"/>
        <w:jc w:val="both"/>
      </w:pPr>
      <w:r>
        <w:rPr>
          <w:rFonts w:ascii="仿宋_GB2312" w:hAnsi="仿宋_GB2312" w:cs="仿宋_GB2312" w:eastAsia="仿宋_GB2312"/>
          <w:b w:val="false"/>
          <w:sz w:val="32"/>
        </w:rPr>
        <w:t xml:space="preserve">   2130207森林资源管理支出124.17万元；</w:t>
      </w:r>
    </w:p>
    <w:p>
      <w:pPr>
        <w:ind w:firstLine="480"/>
        <w:jc w:val="both"/>
      </w:pPr>
      <w:r>
        <w:rPr>
          <w:rFonts w:ascii="仿宋_GB2312" w:hAnsi="仿宋_GB2312" w:cs="仿宋_GB2312" w:eastAsia="仿宋_GB2312"/>
          <w:b w:val="false"/>
          <w:sz w:val="32"/>
        </w:rPr>
        <w:t xml:space="preserve">   2130299其他林业和草原支出95万元；</w:t>
      </w:r>
    </w:p>
    <w:p>
      <w:pPr>
        <w:ind w:firstLine="480"/>
        <w:jc w:val="both"/>
      </w:pPr>
      <w:r>
        <w:rPr>
          <w:rFonts w:ascii="仿宋_GB2312" w:hAnsi="仿宋_GB2312" w:cs="仿宋_GB2312" w:eastAsia="仿宋_GB2312"/>
          <w:b w:val="false"/>
          <w:sz w:val="32"/>
        </w:rPr>
        <w:t xml:space="preserve">   2130504农村基础设施建设支出283.63万元；</w:t>
      </w:r>
    </w:p>
    <w:p>
      <w:pPr>
        <w:ind w:firstLine="480"/>
        <w:jc w:val="both"/>
      </w:pPr>
      <w:r>
        <w:rPr>
          <w:rFonts w:ascii="仿宋_GB2312" w:hAnsi="仿宋_GB2312" w:cs="仿宋_GB2312" w:eastAsia="仿宋_GB2312"/>
          <w:b w:val="false"/>
          <w:sz w:val="32"/>
        </w:rPr>
        <w:t xml:space="preserve">   2130505生产发展支出574.37万元；</w:t>
      </w:r>
    </w:p>
    <w:p>
      <w:pPr>
        <w:ind w:firstLine="480"/>
        <w:jc w:val="both"/>
      </w:pPr>
      <w:r>
        <w:rPr>
          <w:rFonts w:ascii="仿宋_GB2312" w:hAnsi="仿宋_GB2312" w:cs="仿宋_GB2312" w:eastAsia="仿宋_GB2312"/>
          <w:b w:val="false"/>
          <w:sz w:val="32"/>
        </w:rPr>
        <w:t xml:space="preserve">   2130701对村级一事一议的补助支出19.15万元；</w:t>
      </w:r>
    </w:p>
    <w:p>
      <w:pPr>
        <w:ind w:firstLine="480"/>
        <w:jc w:val="both"/>
      </w:pPr>
      <w:r>
        <w:rPr>
          <w:rFonts w:ascii="仿宋_GB2312" w:hAnsi="仿宋_GB2312" w:cs="仿宋_GB2312" w:eastAsia="仿宋_GB2312"/>
          <w:b w:val="false"/>
          <w:sz w:val="32"/>
        </w:rPr>
        <w:t xml:space="preserve">   2139999其他农林水支出1,729.35万元；</w:t>
      </w:r>
    </w:p>
    <w:p>
      <w:pPr>
        <w:ind w:firstLine="480"/>
        <w:jc w:val="both"/>
      </w:pPr>
      <w:r>
        <w:rPr>
          <w:rFonts w:ascii="仿宋_GB2312" w:hAnsi="仿宋_GB2312" w:cs="仿宋_GB2312" w:eastAsia="仿宋_GB2312"/>
          <w:b w:val="false"/>
          <w:sz w:val="32"/>
        </w:rPr>
        <w:t xml:space="preserve">   2210105农村危房改造支出1,651.45万元；</w:t>
      </w:r>
    </w:p>
    <w:p>
      <w:pPr>
        <w:ind w:firstLine="480"/>
        <w:jc w:val="both"/>
      </w:pPr>
      <w:r>
        <w:rPr>
          <w:rFonts w:ascii="仿宋_GB2312" w:hAnsi="仿宋_GB2312" w:cs="仿宋_GB2312" w:eastAsia="仿宋_GB2312"/>
          <w:b w:val="false"/>
          <w:sz w:val="32"/>
        </w:rPr>
        <w:t xml:space="preserve">   2210201住房公积金支出141.48万元；</w:t>
      </w:r>
    </w:p>
    <w:p>
      <w:pPr>
        <w:ind w:firstLine="480"/>
        <w:jc w:val="both"/>
      </w:pPr>
      <w:r>
        <w:rPr>
          <w:rFonts w:ascii="仿宋_GB2312" w:hAnsi="仿宋_GB2312" w:cs="仿宋_GB2312" w:eastAsia="仿宋_GB2312"/>
          <w:b w:val="false"/>
          <w:sz w:val="32"/>
        </w:rPr>
        <w:t xml:space="preserve">   2299901其他支出327.68万元。</w:t>
      </w:r>
    </w:p>
    <w:p w14:paraId="049DFBB4" w14:textId="77777777"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14:paraId="3BCDD0A1" w14:textId="25AC9A26" w:rsidR="008853A8" w:rsidRDefault="005B1DE6">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2019年度一般公共预算财政拨款基本支出2,031.78万元，其中：</w:t>
      </w:r>
    </w:p>
    <w:p w14:paraId="61C978B8" w14:textId="68C70B32"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人员经费1,824.13万元，包括：基本工资、津贴补贴、奖金、绩效工资、机关事业单位基本养老保险缴费、职业年金缴费、职工基本医疗保险缴费、公务员医疗补助缴费、其他社会保障缴费、住房公积金、其他工资福利支出、退休费、抚恤金、生活补助、其他对个人和家庭的补助。</w:t>
      </w:r>
    </w:p>
    <w:p w14:paraId="09290895" w14:textId="4CFD8C08"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公用经费207.66万元，包括：办公费、手续费、电费、邮电费、维修（护）费、公务用车运行维护费、其他商品和服务支出。</w:t>
      </w:r>
    </w:p>
    <w:p w14:paraId="1F5CEF98" w14:textId="77777777"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14:paraId="4B605590" w14:textId="2ECB7DD7" w:rsidR="008853A8" w:rsidRDefault="00340AE7">
      <w:pPr>
        <w:ind w:firstLineChars="200" w:firstLine="640"/>
        <w:rPr>
          <w:rFonts w:ascii="仿宋_GB2312" w:eastAsia="仿宋_GB2312"/>
          <w:sz w:val="32"/>
          <w:szCs w:val="32"/>
        </w:rPr>
      </w:pPr>
      <w:r>
        <w:rPr>
          <w:rFonts w:ascii="仿宋_GB2312" w:hAnsi="仿宋_GB2312" w:cs="仿宋_GB2312" w:eastAsia="仿宋_GB2312"/>
          <w:sz w:val="32"/>
        </w:rPr>
        <w:t>2019年度一般公共预算“三公”经费支出决算21.36万元，比上年减少0.04万元，降低0.19%，主要原因是厉行节约，压缩“三公”经费。其中，因公出国（境）费支出0万元，占0%，比上年增加0万元，增长0%，主要原因是与上年相比无变动，与上年一致；公务用车购置及运行维护费支出21.36万元，占100%，比上年减少0.04万元，降低0.19%，主要原因是厉行节约，压缩“三公”经费；公务接待费支出0万元，占0%，比上年增加0万元，增长0%，主要原因是与上年相比无变动，与上年一致。具体情况如下：</w:t>
      </w:r>
    </w:p>
    <w:p w14:paraId="49BF49C2" w14:textId="3BDB51C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因公出国（境）费支出0万元，开支内容包括：预算未安排，无此项支出。单位全年安排的因公出国（境）团组0个，因公出国（境）0人次。</w:t>
      </w:r>
    </w:p>
    <w:p w14:paraId="4A7D6627" w14:textId="2636864C"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用车购置及运行维护费21.36万元，其中，公务用车购置费0万元，公务用车运行维护费21.36万元。公务用车运行维护费开支内容包括汽车油料、维护费、保险费、车辆年检费。公务用车购置数0辆，公务用车保有量3辆。</w:t>
      </w:r>
    </w:p>
    <w:p w14:paraId="47C4B55E" w14:textId="65759774"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公务接待费0万元，开支内容包括预算未安排，无此项支出。单位全年安排的国内公务接待0批次，0人次。</w:t>
      </w:r>
    </w:p>
    <w:p w14:paraId="606EB0C3" w14:textId="1E9AC7CE"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一般公共预算“三公”经费支出年初预算数3.12万元，决算数21.36万元，预决算差异率584.62%，主要原因是：上级专项资金较去年增加，为开展专项业务活动，车辆使用频繁，燃油费增加，预算追加，因此决算数大于年初预算数。其中：因公出国（境）费预算数0万元，决算数0万元，预决算差异率0%，主要原因是：预算未安排，也无相应支出，因此预决算无差异；公务用车购置费预算数0万元，决算数0万元，预决算差异率0%，主要原因是：预算未安排，也无相应支出，因此预决算无差异；公务用车运行费预算数3.12万元，决算数21.36万元，预决算差异率584.62%，主要原因是：上级专项资金较去年增加，为开展专项业务活动，车辆使用频繁，燃油费增加，预算追加，因此决算数大于年初预算数；公务接待费预算数0万元，决算数0万元，预决算差异率0%，主要原因是：预算未安排，也无相应支出，因此预决算无差异。</w:t>
      </w:r>
    </w:p>
    <w:p w14:paraId="11800BF9" w14:textId="2A0977DB"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14:paraId="1D95B262" w14:textId="74B49A74" w:rsidR="008853A8" w:rsidRPr="008F7D99" w:rsidRDefault="00922FA7">
      <w:pPr>
        <w:ind w:firstLineChars="200" w:firstLine="640"/>
        <w:rPr>
          <w:rFonts w:ascii="仿宋_GB2312" w:eastAsia="仿宋_GB2312"/>
          <w:color w:val="000000" w:themeColor="text1"/>
          <w:sz w:val="32"/>
          <w:szCs w:val="32"/>
        </w:rPr>
      </w:pPr>
      <w:r>
        <w:rPr>
          <w:rFonts w:ascii="仿宋_GB2312" w:hAnsi="仿宋_GB2312" w:cs="仿宋_GB2312" w:eastAsia="仿宋_GB2312"/>
          <w:sz w:val="32"/>
        </w:rPr>
        <w:t>2019年度政府性基金预算财政拨款收入80.22万元，与上年相比，增加68.38万元，增长577.53%，主要原因是：上级专项资金较去年增加。政府性基金预算支出82.96万元，与上年相比，增加73.86万元，增长811.65%，主要原因是：上级专项资金较去年增加。</w:t>
      </w:r>
    </w:p>
    <w:p w14:paraId="12E90A62" w14:textId="77777777"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14:paraId="11400E99" w14:textId="77777777"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14:paraId="75A0F21C" w14:textId="3A75121C" w:rsidR="00553FB5" w:rsidRDefault="00553FB5">
      <w:pPr>
        <w:ind w:firstLineChars="200" w:firstLine="640"/>
        <w:rPr>
          <w:rFonts w:ascii="仿宋_GB2312" w:eastAsia="仿宋_GB2312"/>
          <w:sz w:val="32"/>
          <w:szCs w:val="32"/>
        </w:rPr>
      </w:pPr>
      <w:r>
        <w:rPr>
          <w:rFonts w:ascii="仿宋_GB2312" w:hAnsi="仿宋_GB2312" w:cs="仿宋_GB2312" w:eastAsia="仿宋_GB2312"/>
          <w:sz w:val="32"/>
        </w:rPr>
        <w:t>2019年度新疆喀什地区麦盖提县央塔克乡人民政府机关运行经费支出207.66万元，比上年增加60.10万元，增长40.73%，主要原因是新增加拆分村2个，相应的日常公用经费增加。</w:t>
      </w:r>
    </w:p>
    <w:p w14:paraId="72BCBEBD" w14:textId="77777777"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14:paraId="4DEE57E3" w14:textId="498B5E20" w:rsidR="008853A8" w:rsidRDefault="002122DE">
      <w:pPr>
        <w:ind w:firstLineChars="200" w:firstLine="640"/>
        <w:rPr>
          <w:rFonts w:ascii="仿宋_GB2312" w:eastAsia="仿宋_GB2312"/>
          <w:sz w:val="32"/>
          <w:szCs w:val="32"/>
        </w:rPr>
      </w:pPr>
      <w:r>
        <w:rPr>
          <w:rFonts w:ascii="仿宋_GB2312" w:hAnsi="仿宋_GB2312" w:cs="仿宋_GB2312" w:eastAsia="仿宋_GB2312"/>
          <w:sz w:val="32"/>
        </w:rPr>
        <w:t>2019年度政府采购支出总额1,042.33万元，其中：政府采购货物支出1,040.66万元、政府采购工程支出0万元、政府采购服务支出1.67万元。</w:t>
      </w:r>
    </w:p>
    <w:p w14:paraId="4BAE89CA" w14:textId="67110A7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授予中小企业合同金额1,042.33万元，占政府采购支出总额的100%，其中：授予小微企业合同金额1,040.66万元，占政府采购支出总额的99.84%。</w:t>
      </w:r>
    </w:p>
    <w:p w14:paraId="01E8DA8F" w14:textId="77777777"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14:paraId="5D15610F" w14:textId="67052147"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截止2019年12月31日，单位共有房屋38（平方米），价值33.63万元。车辆3辆，价值32.96万元，其中：副部（省）级及以上领导用车0辆、主要领导干部用车0辆、机要通信用车0辆、应急保障用车0辆、执法执勤用车0辆、特种专业技术用车0辆、离退休干部用车0辆、其他用车3辆，其他用车主要是：一般公务用车；单位价值50万元以上通用设备0台（套）、单位价值100万元以上专用设备0台（套）。</w:t>
      </w:r>
    </w:p>
    <w:p w14:paraId="183976BD" w14:textId="77777777"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14:paraId="6F8CE58F" w14:textId="5A0ABE11" w:rsidR="008853A8" w:rsidRDefault="0095219B">
      <w:pPr>
        <w:ind w:firstLineChars="200" w:firstLine="640"/>
        <w:rPr>
          <w:rFonts w:ascii="仿宋_GB2312" w:eastAsia="仿宋_GB2312"/>
          <w:sz w:val="32"/>
          <w:szCs w:val="32"/>
        </w:rPr>
      </w:pPr>
      <w:r>
        <w:rPr>
          <w:rFonts w:ascii="仿宋_GB2312" w:hAnsi="仿宋_GB2312" w:cs="仿宋_GB2312" w:eastAsia="仿宋_GB2312"/>
          <w:sz w:val="32"/>
        </w:rPr>
        <w:t>根据预算绩效管理要求，我单位2019年度开展预算绩效评价项目7个，共涉及资金1190.93万元。预算绩效管理取得的成效：1、彩票公益金项目：维修农科站篮球场及购买健身器材，保障全民运动，提升群众身体素质；2、村级一事一议项目：完善村级基础设施建设，实现基层组织工作有力量、活动有阵地，基层干部生活有保障的目标，改善基层阵地基础设施的有效措施。对项目区的社会安定，经济发展和社会全面进步，构建和谐社会具有十分重要的意义；3、干部周转房建设资金项目：对央塔克乡政府干部宿舍及新建周转房进行水电维修，暖气管道安装，电器设备购买等，提升乡干部基础生活条件，提高乡干部工作热情及归属感；4、纪检谈话室建设项目：以规范化谈话室建设为契机，要求各乡镇纪委在加快规范化谈话室建设同时，强化建章立制，同步健全完善谈话室管理使用、录音录像资料刻录备份、突发事件应对、日常安全监管、“走读式”谈话及保密等各项工作制度规定，以制度促工作规范；5、年度结转类项目：对每一项结转项目资金严格审核，及时有效支出监督，不拖沓，真正做实事，对辖区的棉花种植户，补贴资金，保障家庭住房条件极差的住户推出政策，以提升乡镇形象，为居民能更好的享受安全、绿化、卫生为一体的补贴待遇政策；6、2018年耕地休耕制度试点项目资金（农业局）：对我乡15个村共计1364户农户10000亩耕地进行休耕补助，每亩补助标准300元，保障农户利益，保障土地再利用，再循环，可持续发展；7、免费开放资金项目：对央塔克乡政府及文化站各室的硬件设备进行完善，配备到位，促进文化站健康发展。发现的问题及原因：前期项目开展缓慢，导致了资金滞缓，影响了项目的进度。下一步改进措施：项目启动时同步做好档案的归纳与整理，及时整理、收集、汇总，健全档案资料。具体项目自评情况附项目支出绩效自评表。</w:t>
      </w:r>
    </w:p>
    <w:p w14:paraId="0B4F81EF" w14:textId="77777777"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14:paraId="04385F5B"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14:paraId="01AEDC0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14:paraId="2C3B0A2D"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14:paraId="700224D5"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14:paraId="1D4BF0F9"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14:paraId="05684206"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14:paraId="0BB9913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14:paraId="690389F8"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14:paraId="47D0DD6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32CA0731"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14:paraId="0B82AFA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14:paraId="2F9A67A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14:paraId="51862E8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14:paraId="23B4D7BA"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BC4C1C0" w14:textId="77777777"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649D204" w14:textId="77777777"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14:paraId="090AD99E" w14:textId="77777777"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14:paraId="004B471D" w14:textId="77777777"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14:paraId="62F3C64D" w14:textId="77777777"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14:paraId="3D0B5C9A" w14:textId="77777777"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14:paraId="77EC65FF" w14:textId="77777777"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14:paraId="4311D09D" w14:textId="77777777"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14:paraId="1D7CDCF2" w14:textId="77777777"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14:paraId="5A34F572" w14:textId="77777777"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C45808" w14:textId="77777777" w:rsidR="0088099A" w:rsidRDefault="0088099A">
      <w:r>
        <w:separator/>
      </w:r>
    </w:p>
  </w:endnote>
  <w:endnote w:type="continuationSeparator" w:id="0">
    <w:p w14:paraId="1F226AA3" w14:textId="77777777" w:rsidR="0088099A" w:rsidRDefault="00880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C3B13" w14:textId="7F39015E"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D818AEF"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encV47QEAALYDAAAOAAAAZHJzL2Uyb0RvYy54bWysU82O0zAQviPxDpbvNGkPqIqarpZdFSEt P9LCAziOk1jEHmvsNikPAG/AiQt3nqvPwdhpyrJ7Q1yssT3+5ptvPm+uRtOzg0KvwZZ8ucg5U1ZC rW1b8k8fdy/WnPkgbC16sKrkR+X51fb5s83gCrWCDvpaISMQ64vBlbwLwRVZ5mWnjPALcMrSZQNo RKAttlmNYiB002erPH+ZDYC1Q5DKezq9nS75NuE3jZLhfdN4FVhfcuIW0oppreKabTeiaFG4Tssz DfEPLIzQlopeoG5FEGyP+gmU0RLBQxMWEkwGTaOlSj1QN8v8UTf3nXAq9ULieHeRyf8/WPnu8AGZ rml2nFlhaESn799OP36dfn5lyyjP4HxBWfeO8sL4CsaYGlv17g7kZ88s3HTCtuoaEYZOiZropZfZ g6cTjo8g1fAWaqoj9gES0NigiYCkBiN0GtPxMho1BiZjyfVqvc7pStLdvCF2mSjm5w59eK3AsBiU HGn2CV4c7nyYUueUWM3CTvd9mn9v/zogzHiS6EfGE/cwVuNZjgrqIzWCMNmJ7E9BB/iFs4GsVHJL Xuesf2NJiui6OcA5qOZAWEkPSx44m8KbMLlz71C3HeHOYl+TXDudGom6ThzOLMkcSYqzkaP7Hu5T 1p/vtv0NAAD//wMAUEsDBBQABgAIAAAAIQAMSvDu1gAAAAUBAAAPAAAAZHJzL2Rvd25yZXYueG1s TI9Ba8MwDIXvg/4Ho8Juq9MetpDFKaXQS2/rxmA3N1bjMFsOtpsm/37aGGwXoccTT9+rt5N3YsSY +kAK1qsCBFIbTE+dgrfXw0MJImVNRrtAqGDGBNtmcVfryoQbveB4yp3gEEqVVmBzHiopU2vR67QK AxJ7lxC9zixjJ03UNw73Tm6K4lF63RN/sHrAvcX283T1Cp6m94BDwj1+XMY22n4u3XFW6n457Z5B ZJzy3zF84zM6NMx0DlcySTgFXCT/TPY2Zcny/LvIppb/6ZsvAAAA//8DAFBLAQItABQABgAIAAAA IQC2gziS/gAAAOEBAAATAAAAAAAAAAAAAAAAAAAAAABbQ29udGVudF9UeXBlc10ueG1sUEsBAi0A FAAGAAgAAAAhADj9If/WAAAAlAEAAAsAAAAAAAAAAAAAAAAALwEAAF9yZWxzLy5yZWxzUEsBAi0A FAAGAAgAAAAhAB6dxXjtAQAAtgMAAA4AAAAAAAAAAAAAAAAALgIAAGRycy9lMm9Eb2MueG1sUEsB Ai0AFAAGAAgAAAAhAAxK8O7WAAAABQEAAA8AAAAAAAAAAAAAAAAARwQAAGRycy9kb3ducmV2Lnht bFBLBQYAAAAABAAEAPMAAABKBQAAAAA= " filled="f" stroked="f">
              <v:textbox style="mso-fit-shape-to-text:t" inset="0,0,0,0">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31E4CB" w14:textId="77777777" w:rsidR="0088099A" w:rsidRDefault="0088099A">
      <w:r>
        <w:separator/>
      </w:r>
    </w:p>
  </w:footnote>
  <w:footnote w:type="continuationSeparator" w:id="0">
    <w:p w14:paraId="30BF4204" w14:textId="77777777" w:rsidR="0088099A" w:rsidRDefault="008809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bordersDoNotSurroundHeader/>
  <w:bordersDoNotSurroundFooter/>
  <w:documentProtection w:enforcement="1" w:edit="comments" w:salt="vv6wQY/YshtLauB02SXpBg==" w:hash="6k8TLUdutRgtaipis/SSf2JY9DU="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A4B19"/>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099A"/>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131AF"/>
  <w15:chartTrackingRefBased/>
  <w15:docId w15:val="{7A89F94D-944E-49B7-A5B0-21D8D0FEA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pPr>
      <w:ind w:leftChars="200" w:left="420"/>
    </w:pPr>
  </w:style>
  <w:style w:type="paragraph" w:styleId="TOC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1031</Words>
  <Characters>5881</Characters>
  <Application>Microsoft Office Word</Application>
  <DocSecurity>0</DocSecurity>
  <Lines>49</Lines>
  <Paragraphs>13</Paragraphs>
  <ScaleCrop>false</ScaleCrop>
  <Company/>
  <LinksUpToDate>false</LinksUpToDate>
  <CharactersWithSpaces>6899</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2020-09-08T14:04:00Z</dcterms:created>
  <dc:creator>GXR</dc:creator>
  <cp:lastModifiedBy>Wevil Dwyane</cp:lastModifiedBy>
  <dcterms:modified xsi:type="dcterms:W3CDTF">2020-09-23T11:32:00Z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