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r>
        <w:rPr>
          <w:rFonts w:hint="eastAsia" w:ascii="黑体" w:hAnsi="黑体" w:eastAsia="黑体"/>
          <w:sz w:val="32"/>
          <w:szCs w:val="32"/>
        </w:rPr>
        <w:t>附件：</w:t>
      </w: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ascii="方正小标宋_GBK" w:hAnsi="方正小标宋_GBK" w:eastAsia="方正小标宋_GBK" w:cs="方正小标宋_GBK"/>
          <w:sz w:val="44"/>
        </w:rPr>
        <w:t>中国人民政治协商会议新疆维吾尔自治区麦盖提县委员会2019年度部门决算公开说明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 录</w:t>
      </w:r>
    </w:p>
    <w:p>
      <w:pPr>
        <w:pStyle w:val="6"/>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部门单位概况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bCs/>
          <w:kern w:val="0"/>
          <w:sz w:val="32"/>
          <w:szCs w:val="32"/>
        </w:rPr>
        <w:t>九、其他重要事项的情况说明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十、预算绩效的情况说明</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0" w:name="_Toc24028"/>
      <w:bookmarkStart w:id="1" w:name="_Toc32314"/>
      <w:r>
        <w:rPr>
          <w:rFonts w:hint="eastAsia" w:ascii="黑体" w:hAnsi="黑体" w:eastAsia="黑体"/>
          <w:sz w:val="32"/>
          <w:szCs w:val="32"/>
        </w:rPr>
        <w:t>第一部分 部门单位概况</w:t>
      </w:r>
      <w:bookmarkEnd w:id="0"/>
      <w:bookmarkEnd w:id="1"/>
    </w:p>
    <w:p>
      <w:pPr>
        <w:ind w:firstLine="640" w:firstLineChars="200"/>
        <w:outlineLvl w:val="1"/>
        <w:rPr>
          <w:rFonts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pPr>
        <w:ind w:firstLine="480"/>
        <w:jc w:val="both"/>
      </w:pPr>
      <w:r>
        <w:rPr>
          <w:rFonts w:ascii="仿宋_GB2312" w:hAnsi="仿宋_GB2312" w:eastAsia="仿宋_GB2312" w:cs="仿宋_GB2312"/>
          <w:b w:val="0"/>
          <w:sz w:val="32"/>
        </w:rPr>
        <w:t>政治协商、民主监督、参政议政；具体来说，协助党和政府，广泛联系各族各界人民群众，调查研究，反映社情民意，为党和政府决策建言献策，体现爱国统一战线的优势和特点。</w:t>
      </w:r>
    </w:p>
    <w:p>
      <w:pPr>
        <w:ind w:firstLine="640" w:firstLineChars="200"/>
        <w:outlineLvl w:val="1"/>
        <w:rPr>
          <w:rFonts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pPr>
      <w:r>
        <w:rPr>
          <w:rFonts w:ascii="仿宋_GB2312" w:hAnsi="仿宋_GB2312" w:eastAsia="仿宋_GB2312" w:cs="仿宋_GB2312"/>
          <w:sz w:val="32"/>
        </w:rPr>
        <w:t>中国人民政治协商会议新疆维吾尔自治区麦盖提县委员会2019年度，实有人数34人，其中：在职人员19人，离休人员0人，退休人员15人。</w:t>
      </w:r>
    </w:p>
    <w:p>
      <w:pPr>
        <w:ind w:firstLine="640" w:firstLineChars="200"/>
        <w:rPr>
          <w:rFonts w:ascii="仿宋_GB2312" w:eastAsia="仿宋_GB2312"/>
          <w:sz w:val="32"/>
          <w:szCs w:val="32"/>
        </w:rPr>
      </w:pPr>
      <w:r>
        <w:rPr>
          <w:rFonts w:ascii="仿宋_GB2312" w:hAnsi="仿宋_GB2312" w:eastAsia="仿宋_GB2312" w:cs="仿宋_GB2312"/>
          <w:sz w:val="32"/>
        </w:rPr>
        <w:t>从部门决算单位构成看，中国人民政治协商会议新疆维吾尔自治区麦盖提县委员会部门决算包括：中国人民政治协商会议新疆维吾尔自治区麦盖提县委员会决算。</w:t>
      </w:r>
    </w:p>
    <w:p>
      <w:pPr>
        <w:ind w:firstLine="640" w:firstLineChars="200"/>
        <w:jc w:val="center"/>
        <w:outlineLvl w:val="0"/>
        <w:rPr>
          <w:rFonts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pPr>
        <w:ind w:firstLine="640" w:firstLineChars="200"/>
        <w:outlineLvl w:val="1"/>
        <w:rPr>
          <w:rFonts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pPr>
        <w:ind w:firstLine="640" w:firstLineChars="200"/>
        <w:rPr>
          <w:rFonts w:ascii="仿宋_GB2312" w:eastAsia="仿宋_GB2312"/>
          <w:sz w:val="32"/>
          <w:szCs w:val="32"/>
        </w:rPr>
      </w:pPr>
      <w:r>
        <w:rPr>
          <w:rFonts w:ascii="仿宋_GB2312" w:hAnsi="仿宋_GB2312" w:eastAsia="仿宋_GB2312" w:cs="仿宋_GB2312"/>
          <w:sz w:val="32"/>
        </w:rPr>
        <w:t>2019年度本年收入343.75万元，与上年相比，增加69.02万元，增长25.12%，主要原因是：新增2人；其次干部职务正常晋升，调资增资补发。本年支出343.75万元，与上年相比，增加69.02万元，增长25.12%，主要原因是：新增2人；其次干部职务正常晋升，调资增资补发。</w:t>
      </w:r>
    </w:p>
    <w:p>
      <w:pPr>
        <w:ind w:firstLine="640" w:firstLineChars="200"/>
        <w:outlineLvl w:val="1"/>
        <w:rPr>
          <w:rFonts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hAnsi="仿宋_GB2312" w:eastAsia="仿宋_GB2312" w:cs="仿宋_GB2312"/>
          <w:sz w:val="32"/>
        </w:rPr>
        <w:t>2019年度本年收入343.75万元，其中：财政拨款收入343.75万元，占100%；上级补助收入0万元，占0%；事业收入0万元，占0%；经营收入0万元，占0%；附属单位上缴收入0万元，占0%；其他收入0万元，占0%。</w:t>
      </w:r>
    </w:p>
    <w:p>
      <w:pPr>
        <w:ind w:firstLine="640" w:firstLineChars="200"/>
        <w:outlineLvl w:val="1"/>
        <w:rPr>
          <w:rFonts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ascii="仿宋_GB2312" w:hAnsi="仿宋_GB2312" w:eastAsia="仿宋_GB2312" w:cs="仿宋_GB2312"/>
          <w:sz w:val="32"/>
        </w:rPr>
        <w:t>2019年度本年支出343.75万元，其中：基本支出336.75万元，占97.96%；项目支出7万元，占2.04%；上缴上级支出0万元，占0%；经营支出0万元，占0%；对附属单位补助支出0万元，占0%。</w:t>
      </w:r>
    </w:p>
    <w:p>
      <w:pPr>
        <w:ind w:firstLine="640" w:firstLineChars="200"/>
        <w:outlineLvl w:val="1"/>
        <w:rPr>
          <w:rFonts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ascii="仿宋_GB2312" w:hAnsi="仿宋_GB2312" w:eastAsia="仿宋_GB2312" w:cs="仿宋_GB2312"/>
          <w:sz w:val="32"/>
        </w:rPr>
        <w:t>2019年度财政拨款收入343.75万元，与上年相比，增加69.02万元，增长25.12%，主要原因是：新增2人；其次干部职务正常晋升，调资增资补发。财政拨款支出343.75万元，与上年相比，增加69.02万元，增长25.12%，主要原因是：新增2人；其次干部职务正常晋升，调资增资补发。</w:t>
      </w:r>
    </w:p>
    <w:p>
      <w:pPr>
        <w:ind w:firstLine="640" w:firstLineChars="200"/>
        <w:rPr>
          <w:rFonts w:ascii="仿宋_GB2312" w:eastAsia="仿宋_GB2312"/>
          <w:sz w:val="32"/>
          <w:szCs w:val="32"/>
        </w:rPr>
      </w:pPr>
      <w:r>
        <w:rPr>
          <w:rFonts w:ascii="仿宋_GB2312" w:hAnsi="仿宋_GB2312" w:eastAsia="仿宋_GB2312" w:cs="仿宋_GB2312"/>
          <w:sz w:val="32"/>
        </w:rPr>
        <w:t>与年初预算数相比情况：财政拨款收入年初预算数306.07万元，决算数343.75万元，预决算差异率12.31%，主要原因是：新增2人；其次干部职务正常晋升，调资增资补发，追加预算，因此决算数大于年初预算数。财政拨款支出年初预算数306.07万元，决算数343.75万元，预决算差异率12.31%，主要原因是：新增2人；其次干部职务正常晋升，调资增资补发，追加预算，因此决算数大于年初预算数。</w:t>
      </w:r>
    </w:p>
    <w:p>
      <w:pPr>
        <w:ind w:firstLine="640" w:firstLineChars="200"/>
        <w:outlineLvl w:val="1"/>
        <w:rPr>
          <w:rFonts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rPr>
          <w:rFonts w:ascii="仿宋_GB2312" w:eastAsia="仿宋_GB2312"/>
          <w:sz w:val="32"/>
          <w:szCs w:val="32"/>
        </w:rPr>
      </w:pPr>
      <w:r>
        <w:rPr>
          <w:rFonts w:ascii="仿宋_GB2312" w:hAnsi="仿宋_GB2312" w:eastAsia="仿宋_GB2312" w:cs="仿宋_GB2312"/>
          <w:sz w:val="32"/>
        </w:rPr>
        <w:t>2019年度一般公共预算财政拨款支出343.75万元。按功能分类科目项级科目公开，其中：</w:t>
      </w:r>
    </w:p>
    <w:p>
      <w:pPr>
        <w:ind w:firstLine="480"/>
        <w:jc w:val="both"/>
      </w:pPr>
      <w:r>
        <w:rPr>
          <w:rFonts w:ascii="仿宋_GB2312" w:hAnsi="仿宋_GB2312" w:eastAsia="仿宋_GB2312" w:cs="仿宋_GB2312"/>
          <w:b w:val="0"/>
          <w:sz w:val="32"/>
        </w:rPr>
        <w:t xml:space="preserve">   2010201行政运行支出286.71万元；</w:t>
      </w:r>
    </w:p>
    <w:p>
      <w:pPr>
        <w:ind w:firstLine="480"/>
        <w:jc w:val="both"/>
      </w:pPr>
      <w:r>
        <w:rPr>
          <w:rFonts w:ascii="仿宋_GB2312" w:hAnsi="仿宋_GB2312" w:eastAsia="仿宋_GB2312" w:cs="仿宋_GB2312"/>
          <w:b w:val="0"/>
          <w:sz w:val="32"/>
        </w:rPr>
        <w:t xml:space="preserve">   2010299其他政协事务支出7万元；</w:t>
      </w:r>
    </w:p>
    <w:p>
      <w:pPr>
        <w:ind w:firstLine="480"/>
        <w:jc w:val="both"/>
      </w:pPr>
      <w:r>
        <w:rPr>
          <w:rFonts w:ascii="仿宋_GB2312" w:hAnsi="仿宋_GB2312" w:eastAsia="仿宋_GB2312" w:cs="仿宋_GB2312"/>
          <w:b w:val="0"/>
          <w:sz w:val="32"/>
        </w:rPr>
        <w:t xml:space="preserve">   2080505机关事业单位基本养老保险缴费支出28.51万元；</w:t>
      </w:r>
    </w:p>
    <w:p>
      <w:pPr>
        <w:ind w:firstLine="480"/>
        <w:jc w:val="both"/>
      </w:pPr>
      <w:r>
        <w:rPr>
          <w:rFonts w:ascii="仿宋_GB2312" w:hAnsi="仿宋_GB2312" w:eastAsia="仿宋_GB2312" w:cs="仿宋_GB2312"/>
          <w:b w:val="0"/>
          <w:sz w:val="32"/>
        </w:rPr>
        <w:t xml:space="preserve">   2210201住房公积金支出21.54万元。</w:t>
      </w:r>
    </w:p>
    <w:p>
      <w:pPr>
        <w:ind w:firstLine="640" w:firstLineChars="200"/>
        <w:outlineLvl w:val="1"/>
        <w:rPr>
          <w:rFonts w:ascii="黑体" w:hAnsi="黑体" w:eastAsia="黑体" w:cs="宋体"/>
          <w:bCs/>
          <w:kern w:val="0"/>
          <w:sz w:val="32"/>
          <w:szCs w:val="32"/>
        </w:rPr>
      </w:pPr>
      <w:bookmarkStart w:id="18" w:name="_Toc11146"/>
      <w:bookmarkStart w:id="19" w:name="_Toc30870"/>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hAnsi="仿宋_GB2312" w:eastAsia="仿宋_GB2312" w:cs="仿宋_GB2312"/>
          <w:sz w:val="32"/>
        </w:rPr>
        <w:t>2019年度一般公共预算财政拨款基本支出336.75万元，其中：</w:t>
      </w:r>
    </w:p>
    <w:p>
      <w:pPr>
        <w:ind w:firstLine="640" w:firstLineChars="200"/>
        <w:rPr>
          <w:rFonts w:ascii="仿宋_GB2312" w:eastAsia="仿宋_GB2312"/>
          <w:sz w:val="32"/>
          <w:szCs w:val="32"/>
        </w:rPr>
      </w:pPr>
      <w:r>
        <w:rPr>
          <w:rFonts w:ascii="仿宋_GB2312" w:hAnsi="仿宋_GB2312" w:eastAsia="仿宋_GB2312" w:cs="仿宋_GB2312"/>
          <w:sz w:val="32"/>
        </w:rPr>
        <w:t>人员经费305.94万元，包括：基本工资、津贴补贴、奖金、机关事业单位基本养老保险缴费、其他社会保障缴费、住房公积金、退休费、抚恤金、生活补助。</w:t>
      </w:r>
    </w:p>
    <w:p>
      <w:pPr>
        <w:ind w:firstLine="640" w:firstLineChars="200"/>
        <w:rPr>
          <w:rFonts w:ascii="仿宋_GB2312" w:eastAsia="仿宋_GB2312"/>
          <w:sz w:val="32"/>
          <w:szCs w:val="32"/>
        </w:rPr>
      </w:pPr>
      <w:r>
        <w:rPr>
          <w:rFonts w:ascii="仿宋_GB2312" w:hAnsi="仿宋_GB2312" w:eastAsia="仿宋_GB2312" w:cs="仿宋_GB2312"/>
          <w:sz w:val="32"/>
        </w:rPr>
        <w:t>公用经费30.81万元，包括：办公费、电费、邮电费、取暖费、差旅费、维修（护）费、公务用车运行维护费、其他商品和服务支出。</w:t>
      </w:r>
    </w:p>
    <w:p>
      <w:pPr>
        <w:ind w:firstLine="640" w:firstLineChars="200"/>
        <w:outlineLvl w:val="1"/>
        <w:rPr>
          <w:rFonts w:ascii="黑体" w:hAnsi="黑体" w:eastAsia="黑体" w:cs="宋体"/>
          <w:bCs/>
          <w:kern w:val="0"/>
          <w:sz w:val="32"/>
          <w:szCs w:val="32"/>
        </w:rPr>
      </w:pPr>
      <w:bookmarkStart w:id="20" w:name="_Toc7190"/>
      <w:bookmarkStart w:id="21" w:name="_Toc21518"/>
      <w:r>
        <w:rPr>
          <w:rFonts w:hint="eastAsia" w:ascii="黑体" w:hAnsi="黑体" w:eastAsia="黑体" w:cs="宋体"/>
          <w:bCs/>
          <w:kern w:val="0"/>
          <w:sz w:val="32"/>
          <w:szCs w:val="32"/>
        </w:rPr>
        <w:t>七、一般公共预算财政拨款“三公”经费支出决算情况说明</w:t>
      </w:r>
      <w:bookmarkEnd w:id="20"/>
      <w:bookmarkEnd w:id="21"/>
    </w:p>
    <w:p>
      <w:pPr>
        <w:ind w:firstLine="640" w:firstLineChars="200"/>
        <w:rPr>
          <w:rFonts w:ascii="仿宋_GB2312" w:eastAsia="仿宋_GB2312"/>
          <w:sz w:val="32"/>
          <w:szCs w:val="32"/>
        </w:rPr>
      </w:pPr>
      <w:r>
        <w:rPr>
          <w:rFonts w:ascii="仿宋_GB2312" w:hAnsi="仿宋_GB2312" w:eastAsia="仿宋_GB2312" w:cs="仿宋_GB2312"/>
          <w:sz w:val="32"/>
        </w:rPr>
        <w:t>2019年度一般公共预算“三公”经费支出决算12.84万元，比上年减少7.32万元，降低36.31%，主要原因是厉行节约，压缩“三公”经费开支。其中，因公出国（境）费支出0万元，占0%，比上年增加0万元，增长0%，主要原因是与上年相比无变动，与上年一致；公务用车购置及运行维护费支出12.84万元，占100%，比上年减少6.61万元，降低33.98%，主要原因是厉行节约，压缩“三公”经费开支；公务接待费支出0万元，占0%，比上年减少0.71万元，降低100%，主要原因是19年无公务接待费预算，也无相应支出，因此较18年减少。具体情况如下：</w:t>
      </w:r>
    </w:p>
    <w:p>
      <w:pPr>
        <w:ind w:firstLine="640" w:firstLineChars="200"/>
        <w:rPr>
          <w:rFonts w:ascii="仿宋_GB2312" w:eastAsia="仿宋_GB2312"/>
          <w:sz w:val="32"/>
          <w:szCs w:val="32"/>
        </w:rPr>
      </w:pPr>
      <w:r>
        <w:rPr>
          <w:rFonts w:ascii="仿宋_GB2312" w:hAnsi="仿宋_GB2312" w:eastAsia="仿宋_GB2312" w:cs="仿宋_GB2312"/>
          <w:sz w:val="32"/>
        </w:rPr>
        <w:t>因公出国（境）费支出0万元，开支内容包括：预算未安排，无此项支出。单位全年安排的因公出国（境）团组0个，因公出国（境）0人次。</w:t>
      </w:r>
    </w:p>
    <w:p>
      <w:pPr>
        <w:ind w:firstLine="640" w:firstLineChars="200"/>
        <w:rPr>
          <w:rFonts w:ascii="仿宋_GB2312" w:eastAsia="仿宋_GB2312"/>
          <w:sz w:val="32"/>
          <w:szCs w:val="32"/>
        </w:rPr>
      </w:pPr>
      <w:r>
        <w:rPr>
          <w:rFonts w:ascii="仿宋_GB2312" w:hAnsi="仿宋_GB2312" w:eastAsia="仿宋_GB2312" w:cs="仿宋_GB2312"/>
          <w:sz w:val="32"/>
        </w:rPr>
        <w:t>公务用车购置及运行维护费12.84万元，其中，公务用车购置费0万元，公务用车运行维护费12.84万元。公务用车运行维护费开支内容包括车辆保险费、维护费、过路费。公务用车购置数0辆，公务用车保有量4辆。</w:t>
      </w:r>
    </w:p>
    <w:p>
      <w:pPr>
        <w:ind w:firstLine="640" w:firstLineChars="200"/>
        <w:rPr>
          <w:rFonts w:ascii="仿宋_GB2312" w:eastAsia="仿宋_GB2312"/>
          <w:sz w:val="32"/>
          <w:szCs w:val="32"/>
        </w:rPr>
      </w:pPr>
      <w:r>
        <w:rPr>
          <w:rFonts w:ascii="仿宋_GB2312" w:hAnsi="仿宋_GB2312" w:eastAsia="仿宋_GB2312" w:cs="仿宋_GB2312"/>
          <w:sz w:val="32"/>
        </w:rPr>
        <w:t>公务接待费0万元，开支内容包括预算未安排，无此项支出。单位全年安排的国内公务接待0批次，0人次。</w:t>
      </w:r>
    </w:p>
    <w:p>
      <w:pPr>
        <w:ind w:firstLine="640" w:firstLineChars="200"/>
        <w:rPr>
          <w:rFonts w:ascii="仿宋_GB2312" w:eastAsia="仿宋_GB2312"/>
          <w:sz w:val="32"/>
          <w:szCs w:val="32"/>
        </w:rPr>
      </w:pPr>
      <w:r>
        <w:rPr>
          <w:rFonts w:ascii="仿宋_GB2312" w:hAnsi="仿宋_GB2312" w:eastAsia="仿宋_GB2312" w:cs="仿宋_GB2312"/>
          <w:sz w:val="32"/>
        </w:rPr>
        <w:t>与年初预算数相比情况：一般公共预算“三公”经费支出年初预算数13.12万元，决算数12.84万元，预决算差异率-2.13%，主要原因是：厉行节约，压缩“三公”经费开支，实际发生的车辆运行维护费小于年初预算。其中：因公出国（境）费预算数0万元，决算数0万元，预决算差异率0%，主要原因是：预算未安排，也无相应支出，因此预决算无差异；公务用车购置费预算数0万元，决算数0万元，预决算差异率0%，主要原因是：预算未安排，也无相应支出，因此预决算无差异；公务用车运行费预算数13.12万元，决算数12.84万元，预决算差异率-2.13%，主要原因是：厉行节约，压缩“三公”经费开支，实际发生的车辆运行维护费小于年初预算；公务接待费预算数0万元，决算数0万元，预决算差异率0%，主要原因是：预算未安排，也无相应支出，因此预决算无差异。</w:t>
      </w:r>
    </w:p>
    <w:p>
      <w:pPr>
        <w:ind w:firstLine="640" w:firstLineChars="200"/>
        <w:outlineLvl w:val="1"/>
        <w:rPr>
          <w:rFonts w:ascii="黑体" w:hAnsi="黑体" w:eastAsia="黑体" w:cs="宋体"/>
          <w:bCs/>
          <w:kern w:val="0"/>
          <w:sz w:val="32"/>
          <w:szCs w:val="32"/>
        </w:rPr>
      </w:pPr>
      <w:bookmarkStart w:id="22" w:name="_Toc7927"/>
      <w:bookmarkStart w:id="23" w:name="_Toc5810"/>
      <w:r>
        <w:rPr>
          <w:rFonts w:hint="eastAsia" w:ascii="黑体" w:hAnsi="黑体" w:eastAsia="黑体" w:cs="宋体"/>
          <w:bCs/>
          <w:kern w:val="0"/>
          <w:sz w:val="32"/>
          <w:szCs w:val="32"/>
        </w:rPr>
        <w:t>八、政府性基金预算收入支出决算情况说明</w:t>
      </w:r>
      <w:bookmarkEnd w:id="22"/>
      <w:bookmarkEnd w:id="23"/>
    </w:p>
    <w:p>
      <w:pPr>
        <w:ind w:firstLine="640" w:firstLineChars="200"/>
        <w:rPr>
          <w:rFonts w:ascii="仿宋_GB2312" w:eastAsia="仿宋_GB2312"/>
          <w:color w:val="000000" w:themeColor="text1"/>
          <w:sz w:val="32"/>
          <w:szCs w:val="32"/>
          <w14:textFill>
            <w14:solidFill>
              <w14:schemeClr w14:val="tx1"/>
            </w14:solidFill>
          </w14:textFill>
        </w:rPr>
      </w:pPr>
      <w:r>
        <w:rPr>
          <w:rFonts w:ascii="仿宋_GB2312" w:hAnsi="仿宋_GB2312" w:eastAsia="仿宋_GB2312" w:cs="仿宋_GB2312"/>
          <w:sz w:val="32"/>
        </w:rPr>
        <w:t>我单位本年度无政府性基金预算财政拨款收入支出，政府性基金预算财政拨款收入支出决算表为空表。</w:t>
      </w:r>
    </w:p>
    <w:p>
      <w:pPr>
        <w:ind w:firstLine="640" w:firstLineChars="200"/>
        <w:outlineLvl w:val="1"/>
        <w:rPr>
          <w:rFonts w:ascii="黑体" w:hAnsi="黑体" w:eastAsia="黑体" w:cs="宋体"/>
          <w:bCs/>
          <w:kern w:val="0"/>
          <w:sz w:val="32"/>
          <w:szCs w:val="32"/>
        </w:rPr>
      </w:pPr>
      <w:bookmarkStart w:id="24" w:name="_Toc7314"/>
      <w:bookmarkStart w:id="25" w:name="_Toc1235"/>
      <w:r>
        <w:rPr>
          <w:rFonts w:hint="eastAsia" w:ascii="黑体" w:hAnsi="黑体" w:eastAsia="黑体" w:cs="宋体"/>
          <w:bCs/>
          <w:kern w:val="0"/>
          <w:sz w:val="32"/>
          <w:szCs w:val="32"/>
        </w:rPr>
        <w:t>九、其他重要事项的情况说明</w:t>
      </w:r>
      <w:bookmarkEnd w:id="24"/>
      <w:bookmarkEnd w:id="25"/>
    </w:p>
    <w:p>
      <w:pPr>
        <w:ind w:firstLine="640" w:firstLineChars="200"/>
        <w:outlineLvl w:val="2"/>
        <w:rPr>
          <w:rFonts w:ascii="黑体" w:hAnsi="黑体" w:eastAsia="黑体"/>
          <w:sz w:val="32"/>
          <w:szCs w:val="32"/>
        </w:rPr>
      </w:pPr>
      <w:bookmarkStart w:id="26" w:name="_Toc13105"/>
      <w:bookmarkStart w:id="27" w:name="_Toc14519"/>
      <w:r>
        <w:rPr>
          <w:rFonts w:hint="eastAsia" w:ascii="黑体" w:hAnsi="黑体" w:eastAsia="黑体"/>
          <w:sz w:val="32"/>
          <w:szCs w:val="32"/>
        </w:rPr>
        <w:t>（一）机关运行经费支出情况</w:t>
      </w:r>
      <w:bookmarkEnd w:id="26"/>
      <w:bookmarkEnd w:id="27"/>
    </w:p>
    <w:p>
      <w:pPr>
        <w:ind w:firstLine="640" w:firstLineChars="200"/>
        <w:rPr>
          <w:rFonts w:ascii="仿宋_GB2312" w:eastAsia="仿宋_GB2312"/>
          <w:sz w:val="32"/>
          <w:szCs w:val="32"/>
        </w:rPr>
      </w:pPr>
      <w:r>
        <w:rPr>
          <w:rFonts w:ascii="仿宋_GB2312" w:hAnsi="仿宋_GB2312" w:eastAsia="仿宋_GB2312" w:cs="仿宋_GB2312"/>
          <w:sz w:val="32"/>
        </w:rPr>
        <w:t>2019年度中国人民政治协商会议新疆维吾尔自治区麦盖提县委员会机关运行经费支出30.81万元，比上年减少3.28万元，降低9.62%，主要原因是办公费、差旅费较去年减少。</w:t>
      </w:r>
    </w:p>
    <w:p>
      <w:pPr>
        <w:ind w:firstLine="640" w:firstLineChars="200"/>
        <w:outlineLvl w:val="2"/>
        <w:rPr>
          <w:rFonts w:ascii="黑体" w:hAnsi="黑体" w:eastAsia="黑体"/>
          <w:sz w:val="32"/>
          <w:szCs w:val="32"/>
        </w:rPr>
      </w:pPr>
      <w:bookmarkStart w:id="28" w:name="_Toc26704"/>
      <w:bookmarkStart w:id="29" w:name="_Toc227"/>
      <w:r>
        <w:rPr>
          <w:rFonts w:hint="eastAsia" w:ascii="黑体" w:hAnsi="黑体" w:eastAsia="黑体"/>
          <w:sz w:val="32"/>
          <w:szCs w:val="32"/>
        </w:rPr>
        <w:t>（二）政府采购情况</w:t>
      </w:r>
      <w:bookmarkEnd w:id="28"/>
      <w:bookmarkEnd w:id="29"/>
    </w:p>
    <w:p>
      <w:pPr>
        <w:ind w:firstLine="640" w:firstLineChars="200"/>
        <w:rPr>
          <w:rFonts w:ascii="仿宋_GB2312" w:eastAsia="仿宋_GB2312"/>
          <w:sz w:val="32"/>
          <w:szCs w:val="32"/>
        </w:rPr>
      </w:pPr>
      <w:r>
        <w:rPr>
          <w:rFonts w:ascii="仿宋_GB2312" w:hAnsi="仿宋_GB2312" w:eastAsia="仿宋_GB2312" w:cs="仿宋_GB2312"/>
          <w:sz w:val="32"/>
        </w:rPr>
        <w:t>2019年度政府采购支出总额0万元，其中：政府采购货物支出0万元、政府采购工程支出0万元、政府采购服务支出0万元。</w:t>
      </w:r>
    </w:p>
    <w:p>
      <w:pPr>
        <w:ind w:firstLine="640" w:firstLineChars="200"/>
        <w:rPr>
          <w:rFonts w:ascii="仿宋_GB2312" w:eastAsia="仿宋_GB2312"/>
          <w:sz w:val="32"/>
          <w:szCs w:val="32"/>
        </w:rPr>
      </w:pPr>
      <w:r>
        <w:rPr>
          <w:rFonts w:ascii="仿宋_GB2312" w:hAnsi="仿宋_GB2312" w:eastAsia="仿宋_GB2312" w:cs="仿宋_GB2312"/>
          <w:sz w:val="32"/>
        </w:rPr>
        <w:t>授予中小企业合同金额0万元，占政府采购支出总额的0%，其中：授予小微企业合同金额0万元，占政府采购支出总额的0%。</w:t>
      </w:r>
    </w:p>
    <w:p>
      <w:pPr>
        <w:ind w:firstLine="640" w:firstLineChars="200"/>
        <w:outlineLvl w:val="2"/>
        <w:rPr>
          <w:rFonts w:ascii="黑体" w:hAnsi="黑体" w:eastAsia="黑体"/>
          <w:sz w:val="32"/>
          <w:szCs w:val="32"/>
        </w:rPr>
      </w:pPr>
      <w:bookmarkStart w:id="30" w:name="_Toc4591"/>
      <w:bookmarkStart w:id="31" w:name="_Toc8391"/>
      <w:r>
        <w:rPr>
          <w:rFonts w:hint="eastAsia" w:ascii="黑体" w:hAnsi="黑体" w:eastAsia="黑体"/>
          <w:sz w:val="32"/>
          <w:szCs w:val="32"/>
        </w:rPr>
        <w:t>（三）国有资产占用情况说明</w:t>
      </w:r>
      <w:bookmarkEnd w:id="30"/>
      <w:bookmarkEnd w:id="31"/>
    </w:p>
    <w:p>
      <w:pPr>
        <w:ind w:firstLine="640" w:firstLineChars="200"/>
        <w:rPr>
          <w:rFonts w:ascii="仿宋_GB2312" w:eastAsia="仿宋_GB2312"/>
          <w:sz w:val="32"/>
          <w:szCs w:val="32"/>
        </w:rPr>
      </w:pPr>
      <w:r>
        <w:rPr>
          <w:rFonts w:ascii="仿宋_GB2312" w:hAnsi="仿宋_GB2312" w:eastAsia="仿宋_GB2312" w:cs="仿宋_GB2312"/>
          <w:sz w:val="32"/>
        </w:rPr>
        <w:t>截止2019年12月31日，单位共有房屋0（平方米），价值0万元。车辆4辆，价值77.86万元，其中：副部（省）级及以上领导用车0辆、主要领导干部用车0辆、机要通信用车0辆、应急保障用车0辆、执法执勤用车0辆、特种专业技术用车0辆、离退休干部用车0辆、其他用车4辆，其他用车主要是：一般公务用车；单位价值50万元以上通用设备0台（套）、单位价值100万元以上专用设备0台（套）。</w:t>
      </w:r>
    </w:p>
    <w:p>
      <w:pPr>
        <w:ind w:firstLine="640" w:firstLineChars="200"/>
        <w:outlineLvl w:val="1"/>
        <w:rPr>
          <w:rFonts w:ascii="黑体" w:hAnsi="黑体" w:eastAsia="黑体" w:cs="宋体"/>
          <w:bCs/>
          <w:kern w:val="0"/>
          <w:sz w:val="32"/>
          <w:szCs w:val="32"/>
        </w:rPr>
      </w:pPr>
      <w:bookmarkStart w:id="32" w:name="_Toc435"/>
      <w:bookmarkStart w:id="33" w:name="_Toc11283"/>
      <w:r>
        <w:rPr>
          <w:rFonts w:hint="eastAsia" w:ascii="黑体" w:hAnsi="黑体" w:eastAsia="黑体" w:cs="宋体"/>
          <w:bCs/>
          <w:kern w:val="0"/>
          <w:sz w:val="32"/>
          <w:szCs w:val="32"/>
        </w:rPr>
        <w:t>十、预算绩效的情况说明</w:t>
      </w:r>
      <w:bookmarkEnd w:id="32"/>
      <w:bookmarkEnd w:id="33"/>
    </w:p>
    <w:p>
      <w:pPr>
        <w:ind w:firstLine="640" w:firstLineChars="200"/>
        <w:rPr>
          <w:rFonts w:ascii="仿宋_GB2312" w:eastAsia="仿宋_GB2312"/>
          <w:sz w:val="32"/>
          <w:szCs w:val="32"/>
          <w:lang w:val="en-US"/>
        </w:rPr>
      </w:pPr>
      <w:bookmarkStart w:id="34" w:name="_Toc24143"/>
      <w:bookmarkStart w:id="35" w:name="_Toc3250"/>
      <w:r>
        <w:rPr>
          <w:rFonts w:hint="eastAsia" w:ascii="仿宋_GB2312" w:hAnsi="仿宋_GB2312" w:eastAsia="仿宋_GB2312" w:cs="仿宋_GB2312"/>
          <w:sz w:val="32"/>
          <w:lang w:val="en-US" w:eastAsia="zh-CN"/>
        </w:rPr>
        <w:t>根据预算绩效管理要求，我单位2019年度开展预算绩效评价项目0个，共涉及资金0万元。预算绩效管理取得的成效：无。发现的问题及原因：无。下一步改进措施：无。本单位无有关预算绩效管理和绩效自评开展情况。</w:t>
      </w:r>
    </w:p>
    <w:p>
      <w:pPr>
        <w:ind w:firstLine="640" w:firstLineChars="200"/>
        <w:jc w:val="center"/>
        <w:outlineLvl w:val="0"/>
        <w:rPr>
          <w:rFonts w:ascii="黑体" w:hAnsi="黑体" w:eastAsia="黑体"/>
          <w:sz w:val="32"/>
          <w:szCs w:val="32"/>
        </w:rPr>
      </w:pPr>
      <w:bookmarkStart w:id="54" w:name="_GoBack"/>
      <w:bookmarkEnd w:id="54"/>
      <w:r>
        <w:rPr>
          <w:rFonts w:hint="eastAsia" w:ascii="黑体" w:hAnsi="黑体" w:eastAsia="黑体"/>
          <w:sz w:val="32"/>
          <w:szCs w:val="32"/>
        </w:rPr>
        <w:t>第三部分 专业名词解释</w:t>
      </w:r>
      <w:bookmarkEnd w:id="34"/>
      <w:bookmarkEnd w:id="35"/>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jc w:val="center"/>
        <w:outlineLvl w:val="0"/>
        <w:rPr>
          <w:rFonts w:ascii="黑体" w:hAnsi="黑体" w:eastAsia="黑体"/>
          <w:sz w:val="32"/>
          <w:szCs w:val="32"/>
        </w:rPr>
      </w:pPr>
      <w:bookmarkStart w:id="36" w:name="_Toc28903"/>
      <w:bookmarkStart w:id="37" w:name="_Toc22784"/>
      <w:r>
        <w:rPr>
          <w:rFonts w:hint="eastAsia" w:ascii="黑体" w:hAnsi="黑体" w:eastAsia="黑体"/>
          <w:sz w:val="32"/>
          <w:szCs w:val="32"/>
        </w:rPr>
        <w:t>第四部分 部门决算报表（见附表）</w:t>
      </w:r>
      <w:bookmarkEnd w:id="36"/>
      <w:bookmarkEnd w:id="37"/>
    </w:p>
    <w:p>
      <w:pPr>
        <w:ind w:firstLine="640" w:firstLineChars="200"/>
        <w:outlineLvl w:val="1"/>
        <w:rPr>
          <w:rFonts w:ascii="黑体" w:hAnsi="黑体" w:eastAsia="黑体" w:cs="宋体"/>
          <w:bCs/>
          <w:kern w:val="0"/>
          <w:sz w:val="32"/>
          <w:szCs w:val="32"/>
        </w:rPr>
      </w:pPr>
      <w:bookmarkStart w:id="38" w:name="_Toc6062"/>
      <w:bookmarkStart w:id="39" w:name="_Toc2183"/>
      <w:r>
        <w:rPr>
          <w:rFonts w:hint="eastAsia" w:ascii="黑体" w:hAnsi="黑体" w:eastAsia="黑体" w:cs="宋体"/>
          <w:bCs/>
          <w:kern w:val="0"/>
          <w:sz w:val="32"/>
          <w:szCs w:val="32"/>
        </w:rPr>
        <w:t>一、《收入支出决算总表》</w:t>
      </w:r>
      <w:bookmarkEnd w:id="38"/>
      <w:bookmarkEnd w:id="39"/>
    </w:p>
    <w:p>
      <w:pPr>
        <w:ind w:firstLine="640" w:firstLineChars="200"/>
        <w:outlineLvl w:val="1"/>
        <w:rPr>
          <w:rFonts w:ascii="黑体" w:hAnsi="黑体" w:eastAsia="黑体" w:cs="宋体"/>
          <w:bCs/>
          <w:kern w:val="0"/>
          <w:sz w:val="32"/>
          <w:szCs w:val="32"/>
        </w:rPr>
      </w:pPr>
      <w:bookmarkStart w:id="40" w:name="_Toc30364"/>
      <w:bookmarkStart w:id="41" w:name="_Toc24532"/>
      <w:r>
        <w:rPr>
          <w:rFonts w:hint="eastAsia" w:ascii="黑体" w:hAnsi="黑体" w:eastAsia="黑体" w:cs="宋体"/>
          <w:bCs/>
          <w:kern w:val="0"/>
          <w:sz w:val="32"/>
          <w:szCs w:val="32"/>
        </w:rPr>
        <w:t>二、《收入决算表》</w:t>
      </w:r>
      <w:bookmarkEnd w:id="40"/>
      <w:bookmarkEnd w:id="41"/>
    </w:p>
    <w:p>
      <w:pPr>
        <w:ind w:firstLine="640" w:firstLineChars="200"/>
        <w:outlineLvl w:val="1"/>
        <w:rPr>
          <w:rFonts w:ascii="黑体" w:hAnsi="黑体" w:eastAsia="黑体" w:cs="宋体"/>
          <w:bCs/>
          <w:kern w:val="0"/>
          <w:sz w:val="32"/>
          <w:szCs w:val="32"/>
        </w:rPr>
      </w:pPr>
      <w:bookmarkStart w:id="42" w:name="_Toc21304"/>
      <w:bookmarkStart w:id="43" w:name="_Toc32434"/>
      <w:r>
        <w:rPr>
          <w:rFonts w:hint="eastAsia" w:ascii="黑体" w:hAnsi="黑体" w:eastAsia="黑体" w:cs="宋体"/>
          <w:bCs/>
          <w:kern w:val="0"/>
          <w:sz w:val="32"/>
          <w:szCs w:val="32"/>
        </w:rPr>
        <w:t>三、《支出决算表》</w:t>
      </w:r>
      <w:bookmarkEnd w:id="42"/>
      <w:bookmarkEnd w:id="43"/>
    </w:p>
    <w:p>
      <w:pPr>
        <w:ind w:firstLine="640" w:firstLineChars="200"/>
        <w:outlineLvl w:val="1"/>
        <w:rPr>
          <w:rFonts w:ascii="黑体" w:hAnsi="黑体" w:eastAsia="黑体" w:cs="宋体"/>
          <w:bCs/>
          <w:kern w:val="0"/>
          <w:sz w:val="32"/>
          <w:szCs w:val="32"/>
        </w:rPr>
      </w:pPr>
      <w:bookmarkStart w:id="44" w:name="_Toc14238"/>
      <w:bookmarkStart w:id="45" w:name="_Toc28786"/>
      <w:r>
        <w:rPr>
          <w:rFonts w:hint="eastAsia" w:ascii="黑体" w:hAnsi="黑体" w:eastAsia="黑体" w:cs="宋体"/>
          <w:bCs/>
          <w:kern w:val="0"/>
          <w:sz w:val="32"/>
          <w:szCs w:val="32"/>
        </w:rPr>
        <w:t>四、《财政拨款收入支出决算总表》</w:t>
      </w:r>
      <w:bookmarkEnd w:id="44"/>
      <w:bookmarkEnd w:id="45"/>
    </w:p>
    <w:p>
      <w:pPr>
        <w:ind w:firstLine="640" w:firstLineChars="200"/>
        <w:outlineLvl w:val="1"/>
        <w:rPr>
          <w:rFonts w:ascii="黑体" w:hAnsi="黑体" w:eastAsia="黑体" w:cs="宋体"/>
          <w:bCs/>
          <w:kern w:val="0"/>
          <w:sz w:val="32"/>
          <w:szCs w:val="32"/>
        </w:rPr>
      </w:pPr>
      <w:bookmarkStart w:id="46" w:name="_Toc10347"/>
      <w:bookmarkStart w:id="47" w:name="_Toc14869"/>
      <w:r>
        <w:rPr>
          <w:rFonts w:hint="eastAsia" w:ascii="黑体" w:hAnsi="黑体" w:eastAsia="黑体" w:cs="宋体"/>
          <w:bCs/>
          <w:kern w:val="0"/>
          <w:sz w:val="32"/>
          <w:szCs w:val="32"/>
        </w:rPr>
        <w:t>五、《一般公共预算财政拨款支出决算表》</w:t>
      </w:r>
      <w:bookmarkEnd w:id="46"/>
      <w:bookmarkEnd w:id="47"/>
    </w:p>
    <w:p>
      <w:pPr>
        <w:ind w:firstLine="640" w:firstLineChars="200"/>
        <w:outlineLvl w:val="1"/>
        <w:rPr>
          <w:rFonts w:ascii="黑体" w:hAnsi="黑体" w:eastAsia="黑体" w:cs="宋体"/>
          <w:bCs/>
          <w:kern w:val="0"/>
          <w:sz w:val="32"/>
          <w:szCs w:val="32"/>
        </w:rPr>
      </w:pPr>
      <w:bookmarkStart w:id="48" w:name="_Toc5626"/>
      <w:bookmarkStart w:id="49" w:name="_Toc8884"/>
      <w:r>
        <w:rPr>
          <w:rFonts w:hint="eastAsia" w:ascii="黑体" w:hAnsi="黑体" w:eastAsia="黑体" w:cs="宋体"/>
          <w:bCs/>
          <w:kern w:val="0"/>
          <w:sz w:val="32"/>
          <w:szCs w:val="32"/>
        </w:rPr>
        <w:t>六、《一般公共预算财政拨款基本支出决算表》</w:t>
      </w:r>
      <w:bookmarkEnd w:id="48"/>
      <w:bookmarkEnd w:id="49"/>
    </w:p>
    <w:p>
      <w:pPr>
        <w:ind w:firstLine="640" w:firstLineChars="200"/>
        <w:outlineLvl w:val="1"/>
        <w:rPr>
          <w:rFonts w:ascii="黑体" w:hAnsi="黑体" w:eastAsia="黑体" w:cs="宋体"/>
          <w:bCs/>
          <w:kern w:val="0"/>
          <w:sz w:val="32"/>
          <w:szCs w:val="32"/>
        </w:rPr>
      </w:pPr>
      <w:bookmarkStart w:id="50" w:name="_Toc32663"/>
      <w:bookmarkStart w:id="51" w:name="_Toc29106"/>
      <w:r>
        <w:rPr>
          <w:rFonts w:hint="eastAsia" w:ascii="黑体" w:hAnsi="黑体" w:eastAsia="黑体" w:cs="宋体"/>
          <w:bCs/>
          <w:kern w:val="0"/>
          <w:sz w:val="32"/>
          <w:szCs w:val="32"/>
        </w:rPr>
        <w:t>七、《一般公共预算财政拨款“三公”经费支出决算表》</w:t>
      </w:r>
      <w:bookmarkEnd w:id="50"/>
      <w:bookmarkEnd w:id="51"/>
    </w:p>
    <w:p>
      <w:pPr>
        <w:ind w:firstLine="640" w:firstLineChars="200"/>
        <w:outlineLvl w:val="1"/>
        <w:rPr>
          <w:rFonts w:ascii="黑体" w:hAnsi="黑体" w:eastAsia="黑体" w:cs="宋体"/>
          <w:bCs/>
          <w:kern w:val="0"/>
          <w:sz w:val="32"/>
          <w:szCs w:val="32"/>
        </w:rPr>
      </w:pPr>
      <w:bookmarkStart w:id="52" w:name="_Toc5453"/>
      <w:bookmarkStart w:id="53" w:name="_Toc7643"/>
      <w:r>
        <w:rPr>
          <w:rFonts w:hint="eastAsia" w:ascii="黑体" w:hAnsi="黑体" w:eastAsia="黑体" w:cs="宋体"/>
          <w:bCs/>
          <w:kern w:val="0"/>
          <w:sz w:val="32"/>
          <w:szCs w:val="32"/>
        </w:rPr>
        <w:t>八、《政府性基金预算财政拨款收入支出决算表》</w:t>
      </w:r>
      <w:bookmarkEnd w:id="52"/>
      <w:bookmarkEnd w:id="53"/>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M6pebnPAAAABQEAAA8A&#10;AAAAAAAAAQAgAAAAIgAAAGRycy9kb3ducmV2LnhtbFBLAQIUABQAAAAIAIdO4kAencV45wEAALYD&#10;AAAOAAAAAAAAAAEAIAAAAB4BAABkcnMvZTJvRG9jLnhtbFBLBQYAAAAABgAGAFkBAAB3BQ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dit="comments"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A4B19"/>
    <w:rsid w:val="002B072F"/>
    <w:rsid w:val="002B37DA"/>
    <w:rsid w:val="002B7A04"/>
    <w:rsid w:val="002D187F"/>
    <w:rsid w:val="002F1732"/>
    <w:rsid w:val="003106FF"/>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099A"/>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6644C"/>
    <w:rsid w:val="00D71F68"/>
    <w:rsid w:val="00D767F4"/>
    <w:rsid w:val="00DA07A0"/>
    <w:rsid w:val="00DB4A9A"/>
    <w:rsid w:val="00DB6F81"/>
    <w:rsid w:val="00DD3B82"/>
    <w:rsid w:val="00E02851"/>
    <w:rsid w:val="00E43F43"/>
    <w:rsid w:val="00E76594"/>
    <w:rsid w:val="00EA656B"/>
    <w:rsid w:val="00EB1FF2"/>
    <w:rsid w:val="00EB42AF"/>
    <w:rsid w:val="00EB49C8"/>
    <w:rsid w:val="00EE3598"/>
    <w:rsid w:val="00EE791B"/>
    <w:rsid w:val="00EF3292"/>
    <w:rsid w:val="00F040C7"/>
    <w:rsid w:val="00F04DC0"/>
    <w:rsid w:val="00F24BA1"/>
    <w:rsid w:val="00F45607"/>
    <w:rsid w:val="00F552F7"/>
    <w:rsid w:val="00F57EE2"/>
    <w:rsid w:val="00F67C07"/>
    <w:rsid w:val="00F777E1"/>
    <w:rsid w:val="00F80266"/>
    <w:rsid w:val="00F83E19"/>
    <w:rsid w:val="00FB3828"/>
    <w:rsid w:val="00FC7A52"/>
    <w:rsid w:val="00FE0761"/>
    <w:rsid w:val="00FF5166"/>
    <w:rsid w:val="06792773"/>
    <w:rsid w:val="1DAF458D"/>
    <w:rsid w:val="2A053397"/>
    <w:rsid w:val="2D1136DF"/>
    <w:rsid w:val="31C63837"/>
    <w:rsid w:val="367F1507"/>
    <w:rsid w:val="3D5275AC"/>
    <w:rsid w:val="46901EEE"/>
    <w:rsid w:val="469C74D2"/>
    <w:rsid w:val="50DB5F45"/>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uiPriority w:val="0"/>
    <w:pPr>
      <w:jc w:val="left"/>
    </w:pPr>
  </w:style>
  <w:style w:type="paragraph" w:styleId="3">
    <w:name w:val="toc 3"/>
    <w:basedOn w:val="1"/>
    <w:next w:val="1"/>
    <w:uiPriority w:val="0"/>
    <w:pPr>
      <w:ind w:left="840" w:leftChars="400"/>
    </w:p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uiPriority w:val="0"/>
  </w:style>
  <w:style w:type="paragraph" w:styleId="7">
    <w:name w:val="toc 2"/>
    <w:basedOn w:val="1"/>
    <w:next w:val="1"/>
    <w:uiPriority w:val="0"/>
    <w:pPr>
      <w:ind w:left="420" w:leftChars="200"/>
    </w:pPr>
  </w:style>
  <w:style w:type="paragraph" w:customStyle="1" w:styleId="10">
    <w:name w:val="WPSOffice手动目录 3"/>
    <w:uiPriority w:val="0"/>
    <w:pPr>
      <w:ind w:left="400" w:leftChars="400"/>
    </w:pPr>
    <w:rPr>
      <w:rFonts w:ascii="Times New Roman" w:hAnsi="Times New Roman" w:eastAsia="宋体" w:cs="Times New Roman"/>
      <w:lang w:val="en-US" w:eastAsia="zh-CN" w:bidi="ar-SA"/>
    </w:rPr>
  </w:style>
  <w:style w:type="paragraph" w:customStyle="1" w:styleId="11">
    <w:name w:val="WPSOffice手动目录 2"/>
    <w:uiPriority w:val="0"/>
    <w:pPr>
      <w:ind w:left="200" w:leftChars="200"/>
    </w:pPr>
    <w:rPr>
      <w:rFonts w:ascii="Times New Roman" w:hAnsi="Times New Roman" w:eastAsia="宋体" w:cs="Times New Roman"/>
      <w:lang w:val="en-US" w:eastAsia="zh-CN" w:bidi="ar-SA"/>
    </w:rPr>
  </w:style>
  <w:style w:type="paragraph" w:customStyle="1" w:styleId="12">
    <w:name w:val="WPSOffice手动目录 1"/>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1031</Words>
  <Characters>5881</Characters>
  <Lines>49</Lines>
  <Paragraphs>13</Paragraphs>
  <TotalTime>0</TotalTime>
  <ScaleCrop>false</ScaleCrop>
  <LinksUpToDate>false</LinksUpToDate>
  <CharactersWithSpaces>6899</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2020-09-08T14:04:00Z</dcterms:created>
  <dc:creator>GXR</dc:creator>
  <cp:lastModifiedBy>Administrator</cp:lastModifiedBy>
  <dcterms:modified xsi:type="dcterms:W3CDTF">2020-10-04T08:59:04Z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