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0DAFC1" w14:textId="77777777" w:rsidR="008853A8" w:rsidRDefault="008853A8">
      <w:pPr>
        <w:rPr>
          <w:rFonts w:ascii="黑体" w:eastAsia="黑体" w:hAnsi="黑体"/>
          <w:sz w:val="32"/>
          <w:szCs w:val="32"/>
        </w:rPr>
      </w:pPr>
      <w:r>
        <w:rPr>
          <w:rFonts w:ascii="黑体" w:eastAsia="黑体" w:hAnsi="黑体" w:hint="eastAsia"/>
          <w:sz w:val="32"/>
          <w:szCs w:val="32"/>
        </w:rPr>
        <w:t>附件：</w:t>
      </w:r>
    </w:p>
    <w:p w14:paraId="611C3882" w14:textId="77777777" w:rsidR="008853A8" w:rsidRDefault="008853A8">
      <w:pPr>
        <w:jc w:val="center"/>
        <w:rPr>
          <w:rFonts w:ascii="方正小标宋_GBK" w:eastAsia="方正小标宋_GBK" w:hAnsi="宋体"/>
          <w:sz w:val="44"/>
          <w:szCs w:val="44"/>
        </w:rPr>
      </w:pPr>
    </w:p>
    <w:p w14:paraId="12B0B250" w14:textId="77777777" w:rsidR="008853A8" w:rsidRDefault="008853A8">
      <w:pPr>
        <w:jc w:val="center"/>
        <w:rPr>
          <w:rFonts w:ascii="方正小标宋_GBK" w:eastAsia="方正小标宋_GBK" w:hAnsi="宋体"/>
          <w:sz w:val="44"/>
          <w:szCs w:val="44"/>
        </w:rPr>
      </w:pPr>
    </w:p>
    <w:p w14:paraId="1FB56DCC" w14:textId="77777777" w:rsidR="008853A8" w:rsidRDefault="008853A8">
      <w:pPr>
        <w:jc w:val="center"/>
        <w:rPr>
          <w:rFonts w:ascii="方正小标宋_GBK" w:eastAsia="方正小标宋_GBK" w:hAnsi="宋体"/>
          <w:sz w:val="44"/>
          <w:szCs w:val="44"/>
        </w:rPr>
      </w:pPr>
    </w:p>
    <w:p w14:paraId="0E41F092" w14:textId="77777777" w:rsidR="008853A8" w:rsidRDefault="008853A8">
      <w:pPr>
        <w:jc w:val="center"/>
        <w:rPr>
          <w:rFonts w:ascii="方正小标宋_GBK" w:eastAsia="方正小标宋_GBK" w:hAnsi="宋体"/>
          <w:sz w:val="44"/>
          <w:szCs w:val="44"/>
        </w:rPr>
      </w:pPr>
    </w:p>
    <w:p w14:paraId="0ACE5469" w14:textId="35972067" w:rsidR="008853A8" w:rsidRDefault="00377EC6">
      <w:pPr>
        <w:jc w:val="center"/>
        <w:rPr>
          <w:rFonts w:ascii="方正小标宋_GBK" w:eastAsia="方正小标宋_GBK" w:hAnsi="宋体"/>
          <w:sz w:val="44"/>
          <w:szCs w:val="44"/>
        </w:rPr>
      </w:pPr>
      <w:r>
        <w:rPr>
          <w:rFonts w:ascii="方正小标宋_GBK" w:hAnsi="方正小标宋_GBK" w:cs="方正小标宋_GBK" w:eastAsia="方正小标宋_GBK"/>
          <w:sz w:val="44"/>
        </w:rPr>
        <w:t>新疆喀什地区麦盖提县委统一战线统工作部2019年度部门决算公开说明</w:t>
      </w:r>
    </w:p>
    <w:p w14:paraId="2888F532" w14:textId="77777777" w:rsidR="008853A8" w:rsidRDefault="008853A8">
      <w:pPr>
        <w:jc w:val="center"/>
        <w:rPr>
          <w:rFonts w:ascii="仿宋_GB2312" w:eastAsia="仿宋_GB2312" w:hAnsi="仿宋_GB2312" w:cs="仿宋_GB2312"/>
          <w:bCs/>
          <w:kern w:val="0"/>
          <w:sz w:val="32"/>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t>目 录</w:t>
      </w:r>
    </w:p>
    <w:p w14:paraId="293349B8" w14:textId="77777777" w:rsidR="008853A8" w:rsidRDefault="008853A8">
      <w:pPr>
        <w:pStyle w:val="TOC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Pr>
            <w:rFonts w:ascii="仿宋_GB2312" w:eastAsia="仿宋_GB2312" w:hAnsi="仿宋_GB2312" w:cs="仿宋_GB2312" w:hint="eastAsia"/>
            <w:b/>
            <w:bCs/>
            <w:sz w:val="32"/>
            <w:szCs w:val="32"/>
          </w:rPr>
          <w:t>第一部分 部门单位概况</w:t>
        </w:r>
      </w:hyperlink>
    </w:p>
    <w:p w14:paraId="2F9FE76B"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0567" w:history="1">
        <w:r w:rsidR="008853A8">
          <w:rPr>
            <w:rFonts w:ascii="仿宋_GB2312" w:eastAsia="仿宋_GB2312" w:hAnsi="仿宋_GB2312" w:cs="仿宋_GB2312" w:hint="eastAsia"/>
            <w:bCs/>
            <w:kern w:val="0"/>
            <w:sz w:val="32"/>
            <w:szCs w:val="32"/>
          </w:rPr>
          <w:t>一、主要职能</w:t>
        </w:r>
      </w:hyperlink>
    </w:p>
    <w:p w14:paraId="247DC9F7"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51" w:history="1">
        <w:r w:rsidR="008853A8">
          <w:rPr>
            <w:rFonts w:ascii="仿宋_GB2312" w:eastAsia="仿宋_GB2312" w:hAnsi="仿宋_GB2312" w:cs="仿宋_GB2312" w:hint="eastAsia"/>
            <w:bCs/>
            <w:kern w:val="0"/>
            <w:sz w:val="32"/>
            <w:szCs w:val="32"/>
          </w:rPr>
          <w:t>二、机构设置及人员情况</w:t>
        </w:r>
      </w:hyperlink>
    </w:p>
    <w:p w14:paraId="08B9D742" w14:textId="77777777" w:rsidR="008853A8" w:rsidRDefault="0088099A">
      <w:pPr>
        <w:pStyle w:val="TOC1"/>
        <w:tabs>
          <w:tab w:val="right" w:pos="8306"/>
        </w:tabs>
        <w:rPr>
          <w:rFonts w:ascii="仿宋_GB2312" w:eastAsia="仿宋_GB2312" w:hAnsi="仿宋_GB2312" w:cs="仿宋_GB2312"/>
          <w:b/>
          <w:bCs/>
          <w:sz w:val="32"/>
          <w:szCs w:val="32"/>
        </w:rPr>
      </w:pPr>
      <w:hyperlink w:anchor="_Toc29374" w:history="1">
        <w:r w:rsidR="008853A8">
          <w:rPr>
            <w:rFonts w:ascii="仿宋_GB2312" w:eastAsia="仿宋_GB2312" w:hAnsi="仿宋_GB2312" w:cs="仿宋_GB2312" w:hint="eastAsia"/>
            <w:b/>
            <w:bCs/>
            <w:sz w:val="32"/>
            <w:szCs w:val="32"/>
          </w:rPr>
          <w:t>第二部分 部门决算情况说明</w:t>
        </w:r>
      </w:hyperlink>
    </w:p>
    <w:p w14:paraId="5C83C03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5314" w:history="1">
        <w:r w:rsidR="008853A8">
          <w:rPr>
            <w:rFonts w:ascii="仿宋_GB2312" w:eastAsia="仿宋_GB2312" w:hAnsi="仿宋_GB2312" w:cs="仿宋_GB2312" w:hint="eastAsia"/>
            <w:bCs/>
            <w:kern w:val="0"/>
            <w:sz w:val="32"/>
            <w:szCs w:val="32"/>
          </w:rPr>
          <w:t>一、收入支出决算总体情况说明</w:t>
        </w:r>
      </w:hyperlink>
    </w:p>
    <w:p w14:paraId="4572C604"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2142" w:history="1">
        <w:r w:rsidR="008853A8">
          <w:rPr>
            <w:rFonts w:ascii="仿宋_GB2312" w:eastAsia="仿宋_GB2312" w:hAnsi="仿宋_GB2312" w:cs="仿宋_GB2312" w:hint="eastAsia"/>
            <w:bCs/>
            <w:kern w:val="0"/>
            <w:sz w:val="32"/>
            <w:szCs w:val="32"/>
          </w:rPr>
          <w:t>二、收入决算情况说明</w:t>
        </w:r>
      </w:hyperlink>
    </w:p>
    <w:p w14:paraId="5F2369D5"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3201" w:history="1">
        <w:r w:rsidR="008853A8">
          <w:rPr>
            <w:rFonts w:ascii="仿宋_GB2312" w:eastAsia="仿宋_GB2312" w:hAnsi="仿宋_GB2312" w:cs="仿宋_GB2312" w:hint="eastAsia"/>
            <w:bCs/>
            <w:kern w:val="0"/>
            <w:sz w:val="32"/>
            <w:szCs w:val="32"/>
          </w:rPr>
          <w:t>三、支出决算情况说明</w:t>
        </w:r>
      </w:hyperlink>
    </w:p>
    <w:p w14:paraId="6C9FFD2C"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6564" w:history="1">
        <w:r w:rsidR="008853A8">
          <w:rPr>
            <w:rFonts w:ascii="仿宋_GB2312" w:eastAsia="仿宋_GB2312" w:hAnsi="仿宋_GB2312" w:cs="仿宋_GB2312" w:hint="eastAsia"/>
            <w:bCs/>
            <w:kern w:val="0"/>
            <w:sz w:val="32"/>
            <w:szCs w:val="32"/>
          </w:rPr>
          <w:t>四、财政拨款收入支出决算总体情况说明</w:t>
        </w:r>
      </w:hyperlink>
    </w:p>
    <w:p w14:paraId="50C0774C"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0360" w:history="1">
        <w:r w:rsidR="008853A8">
          <w:rPr>
            <w:rFonts w:ascii="仿宋_GB2312" w:eastAsia="仿宋_GB2312" w:hAnsi="仿宋_GB2312" w:cs="仿宋_GB2312" w:hint="eastAsia"/>
            <w:bCs/>
            <w:kern w:val="0"/>
            <w:sz w:val="32"/>
            <w:szCs w:val="32"/>
          </w:rPr>
          <w:t>五、一般公共预算财政拨款支出决算情况说明</w:t>
        </w:r>
      </w:hyperlink>
    </w:p>
    <w:p w14:paraId="02AD714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0870" w:history="1">
        <w:r w:rsidR="008853A8">
          <w:rPr>
            <w:rFonts w:ascii="仿宋_GB2312" w:eastAsia="仿宋_GB2312" w:hAnsi="仿宋_GB2312" w:cs="仿宋_GB2312" w:hint="eastAsia"/>
            <w:bCs/>
            <w:kern w:val="0"/>
            <w:sz w:val="32"/>
            <w:szCs w:val="32"/>
          </w:rPr>
          <w:t>六、一般公共预算财政拨款基本支出决算情况说明</w:t>
        </w:r>
      </w:hyperlink>
    </w:p>
    <w:p w14:paraId="52DEB1D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518" w:history="1">
        <w:r w:rsidR="008853A8">
          <w:rPr>
            <w:rFonts w:ascii="仿宋_GB2312" w:eastAsia="仿宋_GB2312" w:hAnsi="仿宋_GB2312" w:cs="仿宋_GB2312" w:hint="eastAsia"/>
            <w:bCs/>
            <w:kern w:val="0"/>
            <w:sz w:val="32"/>
            <w:szCs w:val="32"/>
          </w:rPr>
          <w:t>七、一般公共预算财政拨款“三公”经费支出决算情况说明</w:t>
        </w:r>
      </w:hyperlink>
    </w:p>
    <w:p w14:paraId="445A50AA"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5810" w:history="1">
        <w:r w:rsidR="008853A8">
          <w:rPr>
            <w:rFonts w:ascii="仿宋_GB2312" w:eastAsia="仿宋_GB2312" w:hAnsi="仿宋_GB2312" w:cs="仿宋_GB2312" w:hint="eastAsia"/>
            <w:bCs/>
            <w:kern w:val="0"/>
            <w:sz w:val="32"/>
            <w:szCs w:val="32"/>
          </w:rPr>
          <w:t>八、政府性基金预算收入支出决算情况说明</w:t>
        </w:r>
      </w:hyperlink>
    </w:p>
    <w:p w14:paraId="57D5716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235" w:history="1">
        <w:r w:rsidR="008853A8">
          <w:rPr>
            <w:rFonts w:ascii="仿宋_GB2312" w:eastAsia="仿宋_GB2312" w:hAnsi="仿宋_GB2312" w:cs="仿宋_GB2312" w:hint="eastAsia"/>
            <w:bCs/>
            <w:kern w:val="0"/>
            <w:sz w:val="32"/>
            <w:szCs w:val="32"/>
          </w:rPr>
          <w:t>九、其他重要事项的情况说明</w:t>
        </w:r>
      </w:hyperlink>
    </w:p>
    <w:p w14:paraId="326B9E76"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14519" w:history="1">
        <w:r w:rsidR="008853A8">
          <w:rPr>
            <w:rFonts w:ascii="仿宋_GB2312" w:eastAsia="仿宋_GB2312" w:hAnsi="仿宋_GB2312" w:cs="仿宋_GB2312" w:hint="eastAsia"/>
            <w:sz w:val="32"/>
            <w:szCs w:val="32"/>
          </w:rPr>
          <w:t>（一）机关运行经费支出情况</w:t>
        </w:r>
      </w:hyperlink>
    </w:p>
    <w:p w14:paraId="65AAD0E2"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227" w:history="1">
        <w:r w:rsidR="008853A8">
          <w:rPr>
            <w:rFonts w:ascii="仿宋_GB2312" w:eastAsia="仿宋_GB2312" w:hAnsi="仿宋_GB2312" w:cs="仿宋_GB2312" w:hint="eastAsia"/>
            <w:sz w:val="32"/>
            <w:szCs w:val="32"/>
          </w:rPr>
          <w:t>（二）政府采购情况</w:t>
        </w:r>
      </w:hyperlink>
    </w:p>
    <w:p w14:paraId="651C5AE5"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8391" w:history="1">
        <w:r w:rsidR="008853A8">
          <w:rPr>
            <w:rFonts w:ascii="仿宋_GB2312" w:eastAsia="仿宋_GB2312" w:hAnsi="仿宋_GB2312" w:cs="仿宋_GB2312" w:hint="eastAsia"/>
            <w:sz w:val="32"/>
            <w:szCs w:val="32"/>
          </w:rPr>
          <w:t>（三）国有资产占用情况说明</w:t>
        </w:r>
      </w:hyperlink>
    </w:p>
    <w:p w14:paraId="0BD7F98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1283" w:history="1">
        <w:r w:rsidR="008853A8">
          <w:rPr>
            <w:rFonts w:ascii="仿宋_GB2312" w:eastAsia="仿宋_GB2312" w:hAnsi="仿宋_GB2312" w:cs="仿宋_GB2312" w:hint="eastAsia"/>
            <w:bCs/>
            <w:kern w:val="0"/>
            <w:sz w:val="32"/>
            <w:szCs w:val="32"/>
          </w:rPr>
          <w:t>十、预算绩效的情况说明</w:t>
        </w:r>
      </w:hyperlink>
    </w:p>
    <w:p w14:paraId="778B9C6E" w14:textId="77777777" w:rsidR="008853A8" w:rsidRDefault="0088099A">
      <w:pPr>
        <w:pStyle w:val="TOC1"/>
        <w:tabs>
          <w:tab w:val="right" w:pos="8306"/>
        </w:tabs>
        <w:rPr>
          <w:rFonts w:ascii="仿宋_GB2312" w:eastAsia="仿宋_GB2312" w:hAnsi="仿宋_GB2312" w:cs="仿宋_GB2312"/>
          <w:b/>
          <w:bCs/>
          <w:sz w:val="32"/>
          <w:szCs w:val="32"/>
        </w:rPr>
      </w:pPr>
      <w:hyperlink w:anchor="_Toc3250" w:history="1">
        <w:r w:rsidR="008853A8">
          <w:rPr>
            <w:rFonts w:ascii="仿宋_GB2312" w:eastAsia="仿宋_GB2312" w:hAnsi="仿宋_GB2312" w:cs="仿宋_GB2312" w:hint="eastAsia"/>
            <w:b/>
            <w:bCs/>
            <w:sz w:val="32"/>
            <w:szCs w:val="32"/>
          </w:rPr>
          <w:t>第三部分 专业名词解释</w:t>
        </w:r>
      </w:hyperlink>
    </w:p>
    <w:p w14:paraId="41FD2E9B" w14:textId="77777777" w:rsidR="008853A8" w:rsidRDefault="0088099A">
      <w:pPr>
        <w:pStyle w:val="TOC1"/>
        <w:tabs>
          <w:tab w:val="right" w:pos="8306"/>
        </w:tabs>
        <w:rPr>
          <w:rFonts w:ascii="仿宋_GB2312" w:eastAsia="仿宋_GB2312" w:hAnsi="仿宋_GB2312" w:cs="仿宋_GB2312"/>
          <w:b/>
          <w:bCs/>
          <w:sz w:val="32"/>
          <w:szCs w:val="32"/>
        </w:rPr>
      </w:pPr>
      <w:hyperlink w:anchor="_Toc22784" w:history="1">
        <w:r w:rsidR="008853A8">
          <w:rPr>
            <w:rFonts w:ascii="仿宋_GB2312" w:eastAsia="仿宋_GB2312" w:hAnsi="仿宋_GB2312" w:cs="仿宋_GB2312" w:hint="eastAsia"/>
            <w:b/>
            <w:bCs/>
            <w:sz w:val="32"/>
            <w:szCs w:val="32"/>
          </w:rPr>
          <w:t>第四部分 部门决算报表（见附表）</w:t>
        </w:r>
      </w:hyperlink>
    </w:p>
    <w:p w14:paraId="28F1D9E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83" w:history="1">
        <w:r w:rsidR="008853A8">
          <w:rPr>
            <w:rFonts w:ascii="仿宋_GB2312" w:eastAsia="仿宋_GB2312" w:hAnsi="仿宋_GB2312" w:cs="仿宋_GB2312" w:hint="eastAsia"/>
            <w:bCs/>
            <w:kern w:val="0"/>
            <w:sz w:val="32"/>
            <w:szCs w:val="32"/>
          </w:rPr>
          <w:t>一、《收入支出决算总表》</w:t>
        </w:r>
      </w:hyperlink>
    </w:p>
    <w:p w14:paraId="61408A5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4532" w:history="1">
        <w:r w:rsidR="008853A8">
          <w:rPr>
            <w:rFonts w:ascii="仿宋_GB2312" w:eastAsia="仿宋_GB2312" w:hAnsi="仿宋_GB2312" w:cs="仿宋_GB2312" w:hint="eastAsia"/>
            <w:bCs/>
            <w:kern w:val="0"/>
            <w:sz w:val="32"/>
            <w:szCs w:val="32"/>
          </w:rPr>
          <w:t>二、《收入决算表》</w:t>
        </w:r>
      </w:hyperlink>
    </w:p>
    <w:p w14:paraId="04072FC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2434" w:history="1">
        <w:r w:rsidR="008853A8">
          <w:rPr>
            <w:rFonts w:ascii="仿宋_GB2312" w:eastAsia="仿宋_GB2312" w:hAnsi="仿宋_GB2312" w:cs="仿宋_GB2312" w:hint="eastAsia"/>
            <w:bCs/>
            <w:kern w:val="0"/>
            <w:sz w:val="32"/>
            <w:szCs w:val="32"/>
          </w:rPr>
          <w:t>三、《支出决算表》</w:t>
        </w:r>
      </w:hyperlink>
    </w:p>
    <w:p w14:paraId="22BFA8E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8786" w:history="1">
        <w:r w:rsidR="008853A8">
          <w:rPr>
            <w:rFonts w:ascii="仿宋_GB2312" w:eastAsia="仿宋_GB2312" w:hAnsi="仿宋_GB2312" w:cs="仿宋_GB2312" w:hint="eastAsia"/>
            <w:bCs/>
            <w:kern w:val="0"/>
            <w:sz w:val="32"/>
            <w:szCs w:val="32"/>
          </w:rPr>
          <w:t>四、《财政拨款收入支出决算总表》</w:t>
        </w:r>
      </w:hyperlink>
    </w:p>
    <w:p w14:paraId="2DC04D36"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4869" w:history="1">
        <w:r w:rsidR="008853A8">
          <w:rPr>
            <w:rFonts w:ascii="仿宋_GB2312" w:eastAsia="仿宋_GB2312" w:hAnsi="仿宋_GB2312" w:cs="仿宋_GB2312" w:hint="eastAsia"/>
            <w:bCs/>
            <w:kern w:val="0"/>
            <w:sz w:val="32"/>
            <w:szCs w:val="32"/>
          </w:rPr>
          <w:t>五、《一般公共预算财政拨款支出决算表》</w:t>
        </w:r>
      </w:hyperlink>
    </w:p>
    <w:p w14:paraId="455EE489"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8884" w:history="1">
        <w:r w:rsidR="008853A8">
          <w:rPr>
            <w:rFonts w:ascii="仿宋_GB2312" w:eastAsia="仿宋_GB2312" w:hAnsi="仿宋_GB2312" w:cs="仿宋_GB2312" w:hint="eastAsia"/>
            <w:bCs/>
            <w:kern w:val="0"/>
            <w:sz w:val="32"/>
            <w:szCs w:val="32"/>
          </w:rPr>
          <w:t>六、《一般公共预算财政拨款基本支出决算表》</w:t>
        </w:r>
      </w:hyperlink>
    </w:p>
    <w:p w14:paraId="64724664"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9106" w:history="1">
        <w:r w:rsidR="008853A8">
          <w:rPr>
            <w:rFonts w:ascii="仿宋_GB2312" w:eastAsia="仿宋_GB2312" w:hAnsi="仿宋_GB2312" w:cs="仿宋_GB2312" w:hint="eastAsia"/>
            <w:bCs/>
            <w:kern w:val="0"/>
            <w:sz w:val="32"/>
            <w:szCs w:val="32"/>
          </w:rPr>
          <w:t>七、《一般公共预算财政拨款“三公”经费支出决算表》</w:t>
        </w:r>
      </w:hyperlink>
    </w:p>
    <w:p w14:paraId="0F03566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7643" w:history="1">
        <w:r w:rsidR="008853A8">
          <w:rPr>
            <w:rFonts w:ascii="仿宋_GB2312" w:eastAsia="仿宋_GB2312" w:hAnsi="仿宋_GB2312" w:cs="仿宋_GB2312" w:hint="eastAsia"/>
            <w:bCs/>
            <w:kern w:val="0"/>
            <w:sz w:val="32"/>
            <w:szCs w:val="32"/>
          </w:rPr>
          <w:t>八、《政府性基金预算财政拨款收入支出决算表》</w:t>
        </w:r>
      </w:hyperlink>
    </w:p>
    <w:p w14:paraId="0E1577DF" w14:textId="77777777" w:rsidR="008853A8" w:rsidRDefault="008853A8">
      <w:r>
        <w:rPr>
          <w:rFonts w:ascii="仿宋_GB2312" w:eastAsia="仿宋_GB2312" w:hAnsi="仿宋_GB2312" w:cs="仿宋_GB2312" w:hint="eastAsia"/>
          <w:sz w:val="32"/>
          <w:szCs w:val="32"/>
        </w:rPr>
        <w:fldChar w:fldCharType="end"/>
      </w:r>
    </w:p>
    <w:p w14:paraId="68A45511" w14:textId="77777777" w:rsidR="008853A8" w:rsidRDefault="008853A8">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bookmarkStart w:id="0" w:name="_Toc24028"/>
      <w:bookmarkStart w:id="1" w:name="_Toc32314"/>
      <w:r>
        <w:rPr>
          <w:rFonts w:ascii="黑体" w:eastAsia="黑体" w:hAnsi="黑体" w:hint="eastAsia"/>
          <w:sz w:val="32"/>
          <w:szCs w:val="32"/>
        </w:rPr>
        <w:t>第一部分 部门单位概况</w:t>
      </w:r>
      <w:bookmarkEnd w:id="0"/>
      <w:bookmarkEnd w:id="1"/>
    </w:p>
    <w:p w14:paraId="036049B7" w14:textId="77777777" w:rsidR="008853A8" w:rsidRDefault="008853A8">
      <w:pPr>
        <w:ind w:firstLineChars="200" w:firstLine="640"/>
        <w:outlineLvl w:val="1"/>
        <w:rPr>
          <w:rFonts w:ascii="黑体" w:eastAsia="黑体" w:hAnsi="黑体" w:cs="宋体"/>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pPr>
        <w:ind w:firstLine="480"/>
        <w:jc w:val="both"/>
      </w:pPr>
      <w:r>
        <w:rPr>
          <w:rFonts w:ascii="仿宋_GB2312" w:hAnsi="仿宋_GB2312" w:cs="仿宋_GB2312" w:eastAsia="仿宋_GB2312"/>
          <w:b w:val="false"/>
          <w:sz w:val="32"/>
        </w:rPr>
        <w:t>党委中共麦盖提县委员会统一战线工作部委主管全县统一战线工作的职能部门，是了解情况、掌握政策、协调关系、安排人事、增进共识、加强团结等。</w:t>
      </w:r>
    </w:p>
    <w:p w14:paraId="22BD2715" w14:textId="3A98898C" w:rsidR="008853A8" w:rsidRDefault="008853A8">
      <w:pPr>
        <w:ind w:firstLineChars="200" w:firstLine="640"/>
        <w:outlineLvl w:val="1"/>
        <w:rPr>
          <w:rFonts w:ascii="黑体" w:eastAsia="黑体" w:hAnsi="黑体" w:cs="宋体"/>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08E18313" w14:textId="72E3148E" w:rsidR="001F777A" w:rsidRPr="001F777A" w:rsidRDefault="001F777A" w:rsidP="001F777A">
      <w:pPr>
        <w:ind w:firstLineChars="200" w:firstLine="640"/>
      </w:pPr>
      <w:r>
        <w:rPr>
          <w:rFonts w:ascii="仿宋_GB2312" w:hAnsi="仿宋_GB2312" w:cs="仿宋_GB2312" w:eastAsia="仿宋_GB2312"/>
          <w:sz w:val="32"/>
        </w:rPr>
        <w:t>新疆喀什地区麦盖提县委统一战线统工作部2019年度，实有人数42人，其中：在职人员33人，离休人员0人，退休人员9人。</w:t>
      </w:r>
    </w:p>
    <w:p w14:paraId="65B8FE61" w14:textId="77777777" w:rsidR="00862395" w:rsidRDefault="00862395" w:rsidP="00862395">
      <w:pPr>
        <w:ind w:firstLineChars="200" w:firstLine="640"/>
        <w:rPr>
          <w:rFonts w:ascii="仿宋_GB2312" w:eastAsia="仿宋_GB2312"/>
          <w:sz w:val="32"/>
          <w:szCs w:val="32"/>
        </w:rPr>
      </w:pPr>
      <w:r>
        <w:rPr>
          <w:rFonts w:ascii="仿宋_GB2312" w:hAnsi="仿宋_GB2312" w:cs="仿宋_GB2312" w:eastAsia="仿宋_GB2312"/>
          <w:sz w:val="32"/>
        </w:rPr>
        <w:t>从部门决算单位构成看，新疆喀什地区麦盖提县委统一战线统工作部部门决算包括：新疆喀什地区麦盖提县委统一战线统工作部决算。</w:t>
      </w:r>
    </w:p>
    <w:p w14:paraId="2C581B27" w14:textId="77777777" w:rsidR="008853A8" w:rsidRDefault="008853A8">
      <w:pPr>
        <w:ind w:firstLineChars="200" w:firstLine="640"/>
        <w:jc w:val="center"/>
        <w:outlineLvl w:val="0"/>
        <w:rPr>
          <w:rFonts w:ascii="黑体" w:eastAsia="黑体" w:hAnsi="黑体"/>
          <w:sz w:val="32"/>
          <w:szCs w:val="32"/>
        </w:rPr>
      </w:pPr>
      <w:bookmarkStart w:id="6" w:name="_Toc3092"/>
      <w:bookmarkStart w:id="7" w:name="_Toc29374"/>
      <w:r>
        <w:rPr>
          <w:rFonts w:ascii="黑体" w:eastAsia="黑体" w:hAnsi="黑体" w:hint="eastAsia"/>
          <w:sz w:val="32"/>
          <w:szCs w:val="32"/>
        </w:rPr>
        <w:t>第二部分 部门决算情况说明</w:t>
      </w:r>
      <w:bookmarkEnd w:id="6"/>
      <w:bookmarkEnd w:id="7"/>
    </w:p>
    <w:p w14:paraId="4B167492" w14:textId="77777777" w:rsidR="008853A8" w:rsidRDefault="008853A8">
      <w:pPr>
        <w:ind w:firstLineChars="200" w:firstLine="640"/>
        <w:outlineLvl w:val="1"/>
        <w:rPr>
          <w:rFonts w:ascii="黑体" w:eastAsia="黑体" w:hAnsi="黑体" w:cs="宋体"/>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3782D0DE" w14:textId="3E55FEDD" w:rsidR="008853A8" w:rsidRDefault="007E3BFD">
      <w:pPr>
        <w:ind w:firstLineChars="200" w:firstLine="640"/>
        <w:rPr>
          <w:rFonts w:ascii="仿宋_GB2312" w:eastAsia="仿宋_GB2312"/>
          <w:sz w:val="32"/>
          <w:szCs w:val="32"/>
        </w:rPr>
      </w:pPr>
      <w:r>
        <w:rPr>
          <w:rFonts w:ascii="仿宋_GB2312" w:hAnsi="仿宋_GB2312" w:cs="仿宋_GB2312" w:eastAsia="仿宋_GB2312"/>
          <w:sz w:val="32"/>
        </w:rPr>
        <w:t>2019年度本年收入1,006.20万元，与上年相比，增加762.27万元，增长312.5%，主要原因是：机构改革后，民宗局并入统战部，相应资金增加。本年支出1,006.20万元，与上年相比，增加156.67万元，增长18.44%，主要原因是：机构改革后，民宗局并入统战部，相应资金增加。</w:t>
      </w:r>
    </w:p>
    <w:p w14:paraId="3093A798" w14:textId="77777777" w:rsidR="008853A8" w:rsidRDefault="008853A8">
      <w:pPr>
        <w:ind w:firstLineChars="200" w:firstLine="640"/>
        <w:outlineLvl w:val="1"/>
        <w:rPr>
          <w:rFonts w:ascii="黑体" w:eastAsia="黑体" w:hAnsi="黑体" w:cs="宋体"/>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14:paraId="2B914EFB" w14:textId="75DF8F00" w:rsidR="008853A8" w:rsidRDefault="00125A6F">
      <w:pPr>
        <w:ind w:firstLineChars="200" w:firstLine="640"/>
        <w:rPr>
          <w:rFonts w:ascii="仿宋_GB2312" w:eastAsia="仿宋_GB2312"/>
          <w:sz w:val="32"/>
          <w:szCs w:val="32"/>
        </w:rPr>
      </w:pPr>
      <w:r>
        <w:rPr>
          <w:rFonts w:ascii="仿宋_GB2312" w:hAnsi="仿宋_GB2312" w:cs="仿宋_GB2312" w:eastAsia="仿宋_GB2312"/>
          <w:sz w:val="32"/>
        </w:rPr>
        <w:t>2019年度本年收入1,006.20万元，其中：财政拨款收入970.02万元，占96.4%；上级补助收入0万元，占0%；事业收入0万元，占0%；经营收入0万元，占0%；附属单位上缴收入0万元，占0%；其他收入36.17万元，占3.59%。</w:t>
      </w:r>
    </w:p>
    <w:p w14:paraId="008FC815" w14:textId="77777777" w:rsidR="008853A8" w:rsidRDefault="008853A8">
      <w:pPr>
        <w:ind w:firstLineChars="200" w:firstLine="640"/>
        <w:outlineLvl w:val="1"/>
        <w:rPr>
          <w:rFonts w:ascii="黑体" w:eastAsia="黑体" w:hAnsi="黑体" w:cs="宋体"/>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26FB7964" w14:textId="23D4D7B7" w:rsidR="008853A8" w:rsidRDefault="00233021">
      <w:pPr>
        <w:ind w:firstLineChars="200" w:firstLine="640"/>
        <w:rPr>
          <w:rFonts w:ascii="仿宋_GB2312" w:eastAsia="仿宋_GB2312"/>
          <w:sz w:val="32"/>
          <w:szCs w:val="32"/>
        </w:rPr>
      </w:pPr>
      <w:r>
        <w:rPr>
          <w:rFonts w:ascii="仿宋_GB2312" w:hAnsi="仿宋_GB2312" w:cs="仿宋_GB2312" w:eastAsia="仿宋_GB2312"/>
          <w:sz w:val="32"/>
        </w:rPr>
        <w:t>2019年度本年支出1,006.20万元，其中：基本支出419.54万元，占41.7%；项目支出586.65万元，占58.3%；上缴上级支出0万元，占0%；经营支出0万元，占0%；对附属单位补助支出0万元，占0%。</w:t>
      </w:r>
    </w:p>
    <w:p w14:paraId="186CA7CE" w14:textId="77777777" w:rsidR="008853A8" w:rsidRDefault="008853A8">
      <w:pPr>
        <w:ind w:firstLineChars="200" w:firstLine="640"/>
        <w:outlineLvl w:val="1"/>
        <w:rPr>
          <w:rFonts w:ascii="黑体" w:eastAsia="黑体" w:hAnsi="黑体" w:cs="宋体"/>
          <w:bCs/>
          <w:kern w:val="0"/>
          <w:sz w:val="32"/>
          <w:szCs w:val="32"/>
        </w:rPr>
      </w:pPr>
      <w:bookmarkStart w:id="14" w:name="_Toc4393"/>
      <w:bookmarkStart w:id="15" w:name="_Toc26564"/>
      <w:r>
        <w:rPr>
          <w:rFonts w:ascii="黑体" w:eastAsia="黑体" w:hAnsi="黑体" w:cs="宋体" w:hint="eastAsia"/>
          <w:bCs/>
          <w:kern w:val="0"/>
          <w:sz w:val="32"/>
          <w:szCs w:val="32"/>
        </w:rPr>
        <w:t>四、财政拨款收入支出决算总体情况说明</w:t>
      </w:r>
      <w:bookmarkEnd w:id="14"/>
      <w:bookmarkEnd w:id="15"/>
    </w:p>
    <w:p w14:paraId="1B6E4AD7" w14:textId="100B88EF" w:rsidR="008853A8" w:rsidRPr="001848EE" w:rsidRDefault="001C2D35">
      <w:pPr>
        <w:ind w:firstLineChars="200" w:firstLine="640"/>
        <w:rPr>
          <w:rFonts w:ascii="仿宋_GB2312" w:eastAsia="仿宋_GB2312"/>
          <w:sz w:val="32"/>
          <w:szCs w:val="32"/>
        </w:rPr>
      </w:pPr>
      <w:r>
        <w:rPr>
          <w:rFonts w:ascii="仿宋_GB2312" w:hAnsi="仿宋_GB2312" w:cs="仿宋_GB2312" w:eastAsia="仿宋_GB2312"/>
          <w:sz w:val="32"/>
        </w:rPr>
        <w:t>2019年度财政拨款收入970.02万元，与上年相比，增加726.09万元，增长297.66%，主要原因是：机构改革后，民宗局并入统战部，相应资金增加。财政拨款支出970.02万元，与上年相比，增加120.49万元，增长14.18%，主要原因是：机构改革后，民宗局并入统战部，相应资金增加。</w:t>
      </w:r>
    </w:p>
    <w:p w14:paraId="7139D063" w14:textId="11D128B6"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与年初预算数相比情况：财政拨款收入年初预算数423.71万元，决算数970.02万元，预决算差异率128.93%，主要原因是：年初预算只有本级项目以及预告知的项目，后期到达的部分专项资金通过预算追加下达，因此决算数大于年初预算数。财政拨款支出年初预算数423.71万元，决算数970.02万元，预决算差异率128.93%，主要原因是：年初预算只有本级项目以及预告知的项目，后期到达的部分专项资金通过预算追加下达，因此决算数大于年初预算数。</w:t>
      </w:r>
    </w:p>
    <w:p w14:paraId="51FC69F3" w14:textId="77777777" w:rsidR="008853A8" w:rsidRDefault="008853A8">
      <w:pPr>
        <w:ind w:firstLineChars="200" w:firstLine="640"/>
        <w:outlineLvl w:val="1"/>
        <w:rPr>
          <w:rFonts w:ascii="黑体" w:eastAsia="黑体" w:hAnsi="黑体" w:cs="宋体"/>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14:paraId="5B797ACC" w14:textId="2DDC565C" w:rsidR="008853A8" w:rsidRDefault="005529D0">
      <w:pPr>
        <w:ind w:firstLineChars="200" w:firstLine="640"/>
        <w:rPr>
          <w:rFonts w:ascii="仿宋_GB2312" w:eastAsia="仿宋_GB2312"/>
          <w:sz w:val="32"/>
          <w:szCs w:val="32"/>
        </w:rPr>
      </w:pPr>
      <w:r>
        <w:rPr>
          <w:rFonts w:ascii="仿宋_GB2312" w:hAnsi="仿宋_GB2312" w:cs="仿宋_GB2312" w:eastAsia="仿宋_GB2312"/>
          <w:sz w:val="32"/>
        </w:rPr>
        <w:t>2019年度一般公共预算财政拨款支出970.02万元。按功能分类科目项级科目公开，其中：</w:t>
      </w:r>
    </w:p>
    <w:p>
      <w:pPr>
        <w:ind w:firstLine="480"/>
        <w:jc w:val="both"/>
      </w:pPr>
      <w:r>
        <w:rPr>
          <w:rFonts w:ascii="仿宋_GB2312" w:hAnsi="仿宋_GB2312" w:cs="仿宋_GB2312" w:eastAsia="仿宋_GB2312"/>
          <w:b w:val="false"/>
          <w:sz w:val="32"/>
        </w:rPr>
        <w:t xml:space="preserve">   2012301行政运行支出90.47万元；</w:t>
      </w:r>
    </w:p>
    <w:p>
      <w:pPr>
        <w:ind w:firstLine="480"/>
        <w:jc w:val="both"/>
      </w:pPr>
      <w:r>
        <w:rPr>
          <w:rFonts w:ascii="仿宋_GB2312" w:hAnsi="仿宋_GB2312" w:cs="仿宋_GB2312" w:eastAsia="仿宋_GB2312"/>
          <w:b w:val="false"/>
          <w:sz w:val="32"/>
        </w:rPr>
        <w:t xml:space="preserve">   2013401行政运行支出254.91万元；</w:t>
      </w:r>
    </w:p>
    <w:p>
      <w:pPr>
        <w:ind w:firstLine="480"/>
        <w:jc w:val="both"/>
      </w:pPr>
      <w:r>
        <w:rPr>
          <w:rFonts w:ascii="仿宋_GB2312" w:hAnsi="仿宋_GB2312" w:cs="仿宋_GB2312" w:eastAsia="仿宋_GB2312"/>
          <w:b w:val="false"/>
          <w:sz w:val="32"/>
        </w:rPr>
        <w:t xml:space="preserve">   2013499其他统战事务支出37.45万元；</w:t>
      </w:r>
    </w:p>
    <w:p>
      <w:pPr>
        <w:ind w:firstLine="480"/>
        <w:jc w:val="both"/>
      </w:pPr>
      <w:r>
        <w:rPr>
          <w:rFonts w:ascii="仿宋_GB2312" w:hAnsi="仿宋_GB2312" w:cs="仿宋_GB2312" w:eastAsia="仿宋_GB2312"/>
          <w:b w:val="false"/>
          <w:sz w:val="32"/>
        </w:rPr>
        <w:t xml:space="preserve">   2080505机关事业单位基本养老保险缴费支出42.43万元；</w:t>
      </w:r>
    </w:p>
    <w:p>
      <w:pPr>
        <w:ind w:firstLine="480"/>
        <w:jc w:val="both"/>
      </w:pPr>
      <w:r>
        <w:rPr>
          <w:rFonts w:ascii="仿宋_GB2312" w:hAnsi="仿宋_GB2312" w:cs="仿宋_GB2312" w:eastAsia="仿宋_GB2312"/>
          <w:b w:val="false"/>
          <w:sz w:val="32"/>
        </w:rPr>
        <w:t xml:space="preserve">   2130505生产发展支出13.03万元；</w:t>
      </w:r>
    </w:p>
    <w:p>
      <w:pPr>
        <w:ind w:firstLine="480"/>
        <w:jc w:val="both"/>
      </w:pPr>
      <w:r>
        <w:rPr>
          <w:rFonts w:ascii="仿宋_GB2312" w:hAnsi="仿宋_GB2312" w:cs="仿宋_GB2312" w:eastAsia="仿宋_GB2312"/>
          <w:b w:val="false"/>
          <w:sz w:val="32"/>
        </w:rPr>
        <w:t xml:space="preserve">   2160219民贸民品贷款贴息支出500万元；</w:t>
      </w:r>
    </w:p>
    <w:p>
      <w:pPr>
        <w:ind w:firstLine="480"/>
        <w:jc w:val="both"/>
      </w:pPr>
      <w:r>
        <w:rPr>
          <w:rFonts w:ascii="仿宋_GB2312" w:hAnsi="仿宋_GB2312" w:cs="仿宋_GB2312" w:eastAsia="仿宋_GB2312"/>
          <w:b w:val="false"/>
          <w:sz w:val="32"/>
        </w:rPr>
        <w:t xml:space="preserve">   2210201住房公积金支出31.73万元。</w:t>
      </w:r>
    </w:p>
    <w:p w14:paraId="049DFBB4" w14:textId="77777777" w:rsidR="008853A8" w:rsidRDefault="008853A8">
      <w:pPr>
        <w:ind w:firstLineChars="200" w:firstLine="640"/>
        <w:outlineLvl w:val="1"/>
        <w:rPr>
          <w:rFonts w:ascii="黑体" w:eastAsia="黑体" w:hAnsi="黑体" w:cs="宋体"/>
          <w:bCs/>
          <w:kern w:val="0"/>
          <w:sz w:val="32"/>
          <w:szCs w:val="32"/>
        </w:rPr>
      </w:pPr>
      <w:bookmarkStart w:id="18" w:name="_Toc11146"/>
      <w:bookmarkStart w:id="19" w:name="_Toc30870"/>
      <w:r>
        <w:rPr>
          <w:rFonts w:ascii="黑体" w:eastAsia="黑体" w:hAnsi="黑体" w:cs="宋体" w:hint="eastAsia"/>
          <w:bCs/>
          <w:kern w:val="0"/>
          <w:sz w:val="32"/>
          <w:szCs w:val="32"/>
        </w:rPr>
        <w:t>六、一般公共预算财政拨款基本支出决算情况说明</w:t>
      </w:r>
      <w:bookmarkEnd w:id="18"/>
      <w:bookmarkEnd w:id="19"/>
    </w:p>
    <w:p w14:paraId="3BCDD0A1" w14:textId="25AC9A26" w:rsidR="008853A8" w:rsidRDefault="005B1DE6">
      <w:pPr>
        <w:ind w:firstLineChars="200" w:firstLine="640"/>
        <w:rPr>
          <w:rFonts w:ascii="仿宋_GB2312" w:eastAsia="仿宋_GB2312"/>
          <w:sz w:val="32"/>
          <w:szCs w:val="32"/>
        </w:rPr>
      </w:pPr>
      <w:r>
        <w:rPr>
          <w:rFonts w:ascii="仿宋_GB2312" w:hAnsi="仿宋_GB2312" w:cs="仿宋_GB2312" w:eastAsia="仿宋_GB2312"/>
          <w:sz w:val="32"/>
        </w:rPr>
        <w:t>2019年度一般公共预算财政拨款基本支出419.54万元，其中：</w:t>
      </w:r>
    </w:p>
    <w:p w14:paraId="61C978B8" w14:textId="68C70B32"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人员经费400.11万元，包括：基本工资、津贴补贴、奖金、机关事业单位基本养老保险缴费、职工基本医疗保险缴费、公务员医疗补助缴费、其他社会保障缴费、住房公积金、其他工资福利支出、退休费、奖励金。</w:t>
      </w:r>
    </w:p>
    <w:p w14:paraId="09290895" w14:textId="4CFD8C08"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公用经费19.43万元，包括：办公费、水费、电费、邮电费、差旅费、公务用车运行维护费。</w:t>
      </w:r>
    </w:p>
    <w:p w14:paraId="1F5CEF98" w14:textId="77777777" w:rsidR="008853A8" w:rsidRDefault="008853A8">
      <w:pPr>
        <w:ind w:firstLineChars="200" w:firstLine="640"/>
        <w:outlineLvl w:val="1"/>
        <w:rPr>
          <w:rFonts w:ascii="黑体" w:eastAsia="黑体" w:hAnsi="黑体" w:cs="宋体"/>
          <w:bCs/>
          <w:kern w:val="0"/>
          <w:sz w:val="32"/>
          <w:szCs w:val="32"/>
        </w:rPr>
      </w:pPr>
      <w:bookmarkStart w:id="20" w:name="_Toc7190"/>
      <w:bookmarkStart w:id="21" w:name="_Toc21518"/>
      <w:r>
        <w:rPr>
          <w:rFonts w:ascii="黑体" w:eastAsia="黑体" w:hAnsi="黑体" w:cs="宋体" w:hint="eastAsia"/>
          <w:bCs/>
          <w:kern w:val="0"/>
          <w:sz w:val="32"/>
          <w:szCs w:val="32"/>
        </w:rPr>
        <w:t>七、一般公共预算财政拨款“三公”经费支出决算情况说明</w:t>
      </w:r>
      <w:bookmarkEnd w:id="20"/>
      <w:bookmarkEnd w:id="21"/>
    </w:p>
    <w:p w14:paraId="4B605590" w14:textId="2ECB7DD7" w:rsidR="008853A8" w:rsidRDefault="00340AE7">
      <w:pPr>
        <w:ind w:firstLineChars="200" w:firstLine="640"/>
        <w:rPr>
          <w:rFonts w:ascii="仿宋_GB2312" w:eastAsia="仿宋_GB2312"/>
          <w:sz w:val="32"/>
          <w:szCs w:val="32"/>
        </w:rPr>
      </w:pPr>
      <w:r>
        <w:rPr>
          <w:rFonts w:ascii="仿宋_GB2312" w:hAnsi="仿宋_GB2312" w:cs="仿宋_GB2312" w:eastAsia="仿宋_GB2312"/>
          <w:sz w:val="32"/>
        </w:rPr>
        <w:t>2019年度一般公共预算“三公”经费支出决算6.12万元，比上年增加2.83万元，增长86.02%，主要原因是机构改革后，民宗局并入统战部，人员增加，相应的“三公”经费增加。其中，因公出国（境）费支出0万元，占0%，比上年增加0万元，增长0%，主要原因是与上年相比无变动，与上年一致；公务用车购置及运行维护费支出6.12万元，占100%，比上年增加2.83万元，增长86.02%，主要原因是机构改革后，民宗局并入统战部，人员增加，相应的“三公”经费增加；公务接待费支出0万元，占0%，比上年增加0万元，增长0%，主要原因是与上年相比无变动，与上年一致。具体情况如下：</w:t>
      </w:r>
    </w:p>
    <w:p w14:paraId="49BF49C2" w14:textId="3BDB51C0"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因公出国（境）费支出0万元，开支内容包括：与上年相比无变化，与上年一致。单位全年安排的因公出国（境）团组0个，因公出国（境）0人次。</w:t>
      </w:r>
    </w:p>
    <w:p w14:paraId="4A7D6627" w14:textId="2636864C"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公务用车购置及运行维护费6.12万元，其中，公务用车购置费0万元，公务用车运行维护费6.12万元。公务用车运行维护费开支内容包括汽车油料、维护费、保险费。公务用车购置数0辆，公务用车保有量4辆。</w:t>
      </w:r>
    </w:p>
    <w:p w14:paraId="47C4B55E" w14:textId="65759774"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公务接待费0万元，开支内容包括预算未安排，无此项开支。单位全年安排的国内公务接待0批次，0人次。</w:t>
      </w:r>
    </w:p>
    <w:p w14:paraId="606EB0C3" w14:textId="1E9AC7CE"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与年初预算数相比情况：一般公共预算“三公”经费支出年初预算数4.68万元，决算数6.12万元，预决算差异率30.77%，主要原因是：机构改革后，民宗局并入统战部，人员增加，实际开支的“三公”经费增加，预算追加部分经费，因此决算数大于年初预算数。其中：因公出国（境）费预算数0万元，决算数0万元，预决算差异率0%，主要原因是：预算未安排，也无相应支出，因此预决算无差异；公务用车购置费预算数0万元，决算数0万元，预决算差异率0%，主要原因是：预算未安排，也无相应支出，因此预决算无差异；公务用车运行费预算数4.68万元，决算数6.12万元，预决算差异率30.77%，主要原因是：机构改革后，民宗局并入统战部，人员增加，实际开支的“三公”经费增加，预算追加部分经费，因此决算数大于年初预算数；公务接待费预算数0万元，决算数0万元，预决算差异率0%，主要原因是：预算未安排，也无相应支出，因此预决算无差异。</w:t>
      </w:r>
    </w:p>
    <w:p w14:paraId="11800BF9" w14:textId="2A0977DB" w:rsidR="008853A8" w:rsidRDefault="008853A8">
      <w:pPr>
        <w:ind w:firstLineChars="200" w:firstLine="640"/>
        <w:outlineLvl w:val="1"/>
        <w:rPr>
          <w:rFonts w:ascii="黑体" w:eastAsia="黑体" w:hAnsi="黑体" w:cs="宋体"/>
          <w:bCs/>
          <w:kern w:val="0"/>
          <w:sz w:val="32"/>
          <w:szCs w:val="32"/>
        </w:rPr>
      </w:pPr>
      <w:bookmarkStart w:id="22" w:name="_Toc7927"/>
      <w:bookmarkStart w:id="23" w:name="_Toc5810"/>
      <w:r>
        <w:rPr>
          <w:rFonts w:ascii="黑体" w:eastAsia="黑体" w:hAnsi="黑体" w:cs="宋体" w:hint="eastAsia"/>
          <w:bCs/>
          <w:kern w:val="0"/>
          <w:sz w:val="32"/>
          <w:szCs w:val="32"/>
        </w:rPr>
        <w:t>八、政府性基金预算收入支出决算情况说明</w:t>
      </w:r>
      <w:bookmarkEnd w:id="22"/>
      <w:bookmarkEnd w:id="23"/>
    </w:p>
    <w:p w14:paraId="1D95B262" w14:textId="74B49A74" w:rsidR="008853A8" w:rsidRPr="008F7D99" w:rsidRDefault="00922FA7">
      <w:pPr>
        <w:ind w:firstLineChars="200" w:firstLine="640"/>
        <w:rPr>
          <w:rFonts w:ascii="仿宋_GB2312" w:eastAsia="仿宋_GB2312"/>
          <w:color w:val="000000" w:themeColor="text1"/>
          <w:sz w:val="32"/>
          <w:szCs w:val="32"/>
        </w:rPr>
      </w:pPr>
      <w:r>
        <w:rPr>
          <w:rFonts w:ascii="仿宋_GB2312" w:hAnsi="仿宋_GB2312" w:cs="仿宋_GB2312" w:eastAsia="仿宋_GB2312"/>
          <w:sz w:val="32"/>
        </w:rPr>
        <w:t>我单位本年度无政府性基金预算财政拨款收入支出，政府性基金预算财政拨款收入支出决算表为空表。</w:t>
      </w:r>
    </w:p>
    <w:p w14:paraId="12E90A62" w14:textId="77777777" w:rsidR="008853A8" w:rsidRDefault="008853A8">
      <w:pPr>
        <w:ind w:firstLineChars="200" w:firstLine="640"/>
        <w:outlineLvl w:val="1"/>
        <w:rPr>
          <w:rFonts w:ascii="黑体" w:eastAsia="黑体" w:hAnsi="黑体" w:cs="宋体"/>
          <w:bCs/>
          <w:kern w:val="0"/>
          <w:sz w:val="32"/>
          <w:szCs w:val="32"/>
        </w:rPr>
      </w:pPr>
      <w:bookmarkStart w:id="24" w:name="_Toc7314"/>
      <w:bookmarkStart w:id="25" w:name="_Toc1235"/>
      <w:r>
        <w:rPr>
          <w:rFonts w:ascii="黑体" w:eastAsia="黑体" w:hAnsi="黑体" w:cs="宋体" w:hint="eastAsia"/>
          <w:bCs/>
          <w:kern w:val="0"/>
          <w:sz w:val="32"/>
          <w:szCs w:val="32"/>
        </w:rPr>
        <w:t>九、其他重要事项的情况说明</w:t>
      </w:r>
      <w:bookmarkEnd w:id="24"/>
      <w:bookmarkEnd w:id="25"/>
    </w:p>
    <w:p w14:paraId="11400E99" w14:textId="77777777" w:rsidR="008853A8" w:rsidRDefault="008853A8">
      <w:pPr>
        <w:ind w:firstLineChars="200" w:firstLine="640"/>
        <w:outlineLvl w:val="2"/>
        <w:rPr>
          <w:rFonts w:ascii="黑体" w:eastAsia="黑体" w:hAnsi="黑体"/>
          <w:sz w:val="32"/>
          <w:szCs w:val="32"/>
        </w:rPr>
      </w:pPr>
      <w:bookmarkStart w:id="26" w:name="_Toc13105"/>
      <w:bookmarkStart w:id="27" w:name="_Toc14519"/>
      <w:r>
        <w:rPr>
          <w:rFonts w:ascii="黑体" w:eastAsia="黑体" w:hAnsi="黑体" w:hint="eastAsia"/>
          <w:sz w:val="32"/>
          <w:szCs w:val="32"/>
        </w:rPr>
        <w:t>（一）机关运行经费支出情况</w:t>
      </w:r>
      <w:bookmarkEnd w:id="26"/>
      <w:bookmarkEnd w:id="27"/>
    </w:p>
    <w:p w14:paraId="75A0F21C" w14:textId="3A75121C" w:rsidR="00553FB5" w:rsidRDefault="00553FB5">
      <w:pPr>
        <w:ind w:firstLineChars="200" w:firstLine="640"/>
        <w:rPr>
          <w:rFonts w:ascii="仿宋_GB2312" w:eastAsia="仿宋_GB2312"/>
          <w:sz w:val="32"/>
          <w:szCs w:val="32"/>
        </w:rPr>
      </w:pPr>
      <w:r>
        <w:rPr>
          <w:rFonts w:ascii="仿宋_GB2312" w:hAnsi="仿宋_GB2312" w:cs="仿宋_GB2312" w:eastAsia="仿宋_GB2312"/>
          <w:sz w:val="32"/>
        </w:rPr>
        <w:t>2019年度新疆喀什地区麦盖提县委统一战线统工作部机关运行经费支出19.43万元，比上年增加14.73万元，增长313.4%，主要原因是机构改革后，民宗局并入统战部，人员增加，日常公用经费较去年增加。</w:t>
      </w:r>
    </w:p>
    <w:p w14:paraId="72BCBEBD" w14:textId="77777777" w:rsidR="008853A8" w:rsidRDefault="008853A8">
      <w:pPr>
        <w:ind w:firstLineChars="200" w:firstLine="640"/>
        <w:outlineLvl w:val="2"/>
        <w:rPr>
          <w:rFonts w:ascii="黑体" w:eastAsia="黑体" w:hAnsi="黑体"/>
          <w:sz w:val="32"/>
          <w:szCs w:val="32"/>
        </w:rPr>
      </w:pPr>
      <w:bookmarkStart w:id="28" w:name="_Toc26704"/>
      <w:bookmarkStart w:id="29" w:name="_Toc227"/>
      <w:r>
        <w:rPr>
          <w:rFonts w:ascii="黑体" w:eastAsia="黑体" w:hAnsi="黑体" w:hint="eastAsia"/>
          <w:sz w:val="32"/>
          <w:szCs w:val="32"/>
        </w:rPr>
        <w:t>（二）政府采购情况</w:t>
      </w:r>
      <w:bookmarkEnd w:id="28"/>
      <w:bookmarkEnd w:id="29"/>
    </w:p>
    <w:p w14:paraId="4DEE57E3" w14:textId="498B5E20" w:rsidR="008853A8" w:rsidRDefault="002122DE">
      <w:pPr>
        <w:ind w:firstLineChars="200" w:firstLine="640"/>
        <w:rPr>
          <w:rFonts w:ascii="仿宋_GB2312" w:eastAsia="仿宋_GB2312"/>
          <w:sz w:val="32"/>
          <w:szCs w:val="32"/>
        </w:rPr>
      </w:pPr>
      <w:r>
        <w:rPr>
          <w:rFonts w:ascii="仿宋_GB2312" w:hAnsi="仿宋_GB2312" w:cs="仿宋_GB2312" w:eastAsia="仿宋_GB2312"/>
          <w:sz w:val="32"/>
        </w:rPr>
        <w:t>2019年度政府采购支出总额1万元，其中：政府采购货物支出0万元、政府采购工程支出0万元、政府采购服务支出1万元。</w:t>
      </w:r>
    </w:p>
    <w:p w14:paraId="4BAE89CA" w14:textId="67110A70"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授予中小企业合同金额1万元，占政府采购支出总额的100%，其中：授予小微企业合同金额1万元，占政府采购支出总额的100%。</w:t>
      </w:r>
    </w:p>
    <w:p w14:paraId="01E8DA8F" w14:textId="77777777" w:rsidR="008853A8" w:rsidRDefault="008853A8">
      <w:pPr>
        <w:ind w:firstLineChars="200" w:firstLine="640"/>
        <w:outlineLvl w:val="2"/>
        <w:rPr>
          <w:rFonts w:ascii="黑体" w:eastAsia="黑体" w:hAnsi="黑体"/>
          <w:sz w:val="32"/>
          <w:szCs w:val="32"/>
        </w:rPr>
      </w:pPr>
      <w:bookmarkStart w:id="30" w:name="_Toc4591"/>
      <w:bookmarkStart w:id="31" w:name="_Toc8391"/>
      <w:r>
        <w:rPr>
          <w:rFonts w:ascii="黑体" w:eastAsia="黑体" w:hAnsi="黑体" w:hint="eastAsia"/>
          <w:sz w:val="32"/>
          <w:szCs w:val="32"/>
        </w:rPr>
        <w:t>（三）国有资产占用情况说明</w:t>
      </w:r>
      <w:bookmarkEnd w:id="30"/>
      <w:bookmarkEnd w:id="31"/>
    </w:p>
    <w:p w14:paraId="5D15610F" w14:textId="67052147"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截止2019年12月31日，单位共有房屋0（平方米），价值0万元。车辆4辆，价值49.87万元，其中：副部（省）级及以上领导用车0辆、主要领导干部用车0辆、机要通信用车0辆、应急保障用车0辆、执法执勤用车0辆、特种专业技术用车0辆、离退休干部用车0辆、其他用车4辆，其他用车主要是：一般公务用车；单位价值50万元以上通用设备0台（套）、单位价值100万元以上专用设备0台（套）。</w:t>
      </w:r>
    </w:p>
    <w:p w14:paraId="183976BD" w14:textId="77777777" w:rsidR="008853A8" w:rsidRDefault="008853A8">
      <w:pPr>
        <w:ind w:firstLineChars="200" w:firstLine="640"/>
        <w:outlineLvl w:val="1"/>
        <w:rPr>
          <w:rFonts w:ascii="黑体" w:eastAsia="黑体" w:hAnsi="黑体" w:cs="宋体"/>
          <w:bCs/>
          <w:kern w:val="0"/>
          <w:sz w:val="32"/>
          <w:szCs w:val="32"/>
        </w:rPr>
      </w:pPr>
      <w:bookmarkStart w:id="32" w:name="_Toc435"/>
      <w:bookmarkStart w:id="33" w:name="_Toc11283"/>
      <w:r>
        <w:rPr>
          <w:rFonts w:ascii="黑体" w:eastAsia="黑体" w:hAnsi="黑体" w:cs="宋体" w:hint="eastAsia"/>
          <w:bCs/>
          <w:kern w:val="0"/>
          <w:sz w:val="32"/>
          <w:szCs w:val="32"/>
        </w:rPr>
        <w:t>十、预算绩效的情况说明</w:t>
      </w:r>
      <w:bookmarkEnd w:id="32"/>
      <w:bookmarkEnd w:id="33"/>
    </w:p>
    <w:p w14:paraId="6F8CE58F" w14:textId="5A0ABE11" w:rsidR="008853A8" w:rsidRDefault="0095219B">
      <w:pPr>
        <w:ind w:firstLineChars="200" w:firstLine="640"/>
        <w:rPr>
          <w:rFonts w:ascii="仿宋_GB2312" w:eastAsia="仿宋_GB2312"/>
          <w:sz w:val="32"/>
          <w:szCs w:val="32"/>
        </w:rPr>
      </w:pPr>
      <w:r>
        <w:rPr>
          <w:rFonts w:ascii="仿宋_GB2312" w:hAnsi="仿宋_GB2312" w:cs="仿宋_GB2312" w:eastAsia="仿宋_GB2312"/>
          <w:sz w:val="32"/>
        </w:rPr>
        <w:t>根据预算绩效管理要求，我单位2019年度开展预算绩效评价项目3个，共涉及资金647.62万元。预算绩效管理取得的成效：1、统战部“暖民心工程”四项活动补贴经费项目：开展“四项活动”是一项“暖民心”工程，是做好基层工作的重要举措和抓手。得到广大基层党员干部和群众的认可。2、民贸民品贷款贴息：已按预期目标及时拨付民贸民品贷款贴息资金，扶持民族特需商品生产供应，满足少数民族群众的特殊消费需求，缓解少数民族生产生活用品买卖难问题， 支持民贸民品企业发展，很好的促进了民贸民品企业的发展。3、少数民族发展资金项目按时拨付少数民族发展资金，项目按时完工，少数民族发展资金支持贫困少数民族地区推进兴边富民行动，扶持人口较少民族发展，改善了少数民族生产生活条件。发现的问题及原因：做好档案的归纳与整理，及时整理、收集、汇总，健全档案资料；项目前期工作准备不够充分，项目中期阶段监督管理不到位，项目后期管理不够完善。下一步改进措施：坚持项目后期跟踪，及时发现和了解项目运行中存在的问题，增强资金的使用效益;进一步健全和完善财务管理制度及内部控制制度，创新管理手段，用新思路、新方法，改进完善财务管理方法，用制度管项目，用制度管资金。具体项目自评情况附项目支出绩效自评表。</w:t>
      </w:r>
    </w:p>
    <w:p w14:paraId="0B4F81EF" w14:textId="77777777" w:rsidR="008853A8" w:rsidRDefault="008853A8">
      <w:pPr>
        <w:ind w:firstLineChars="200" w:firstLine="640"/>
        <w:jc w:val="center"/>
        <w:outlineLvl w:val="0"/>
        <w:rPr>
          <w:rFonts w:ascii="黑体" w:eastAsia="黑体" w:hAnsi="黑体"/>
          <w:sz w:val="32"/>
          <w:szCs w:val="32"/>
        </w:rPr>
      </w:pPr>
      <w:bookmarkStart w:id="34" w:name="_Toc24143"/>
      <w:bookmarkStart w:id="35" w:name="_Toc3250"/>
      <w:r>
        <w:rPr>
          <w:rFonts w:ascii="黑体" w:eastAsia="黑体" w:hAnsi="黑体" w:hint="eastAsia"/>
          <w:sz w:val="32"/>
          <w:szCs w:val="32"/>
        </w:rPr>
        <w:t>第三部分 专业名词解释</w:t>
      </w:r>
      <w:bookmarkEnd w:id="34"/>
      <w:bookmarkEnd w:id="35"/>
    </w:p>
    <w:p w14:paraId="04385F5B"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14:paraId="01AEDC03"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14:paraId="2C3B0A2D"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14:paraId="700224D5"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14:paraId="1D4BF0F9"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14:paraId="05684206"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14:paraId="0BB99130"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14:paraId="690389F8"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14:paraId="47D0DD63"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14:paraId="32CA0731"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14:paraId="0B82AFAE"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14:paraId="2F9A67A0"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14:paraId="51862E8E"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14:paraId="23B4D7BA"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6BC4C1C0" w14:textId="77777777" w:rsidR="008853A8" w:rsidRDefault="008853A8">
      <w:pPr>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7649D204" w14:textId="77777777" w:rsidR="008853A8" w:rsidRDefault="008853A8">
      <w:pPr>
        <w:ind w:firstLineChars="200" w:firstLine="640"/>
        <w:jc w:val="center"/>
        <w:outlineLvl w:val="0"/>
        <w:rPr>
          <w:rFonts w:ascii="黑体" w:eastAsia="黑体" w:hAnsi="黑体"/>
          <w:sz w:val="32"/>
          <w:szCs w:val="32"/>
        </w:rPr>
      </w:pPr>
      <w:bookmarkStart w:id="36" w:name="_Toc28903"/>
      <w:bookmarkStart w:id="37" w:name="_Toc22784"/>
      <w:r>
        <w:rPr>
          <w:rFonts w:ascii="黑体" w:eastAsia="黑体" w:hAnsi="黑体" w:hint="eastAsia"/>
          <w:sz w:val="32"/>
          <w:szCs w:val="32"/>
        </w:rPr>
        <w:t>第四部分 部门决算报表（见附表）</w:t>
      </w:r>
      <w:bookmarkEnd w:id="36"/>
      <w:bookmarkEnd w:id="37"/>
    </w:p>
    <w:p w14:paraId="090AD99E" w14:textId="77777777" w:rsidR="008853A8" w:rsidRDefault="008853A8">
      <w:pPr>
        <w:ind w:firstLineChars="200" w:firstLine="640"/>
        <w:outlineLvl w:val="1"/>
        <w:rPr>
          <w:rFonts w:ascii="黑体" w:eastAsia="黑体" w:hAnsi="黑体" w:cs="宋体"/>
          <w:bCs/>
          <w:kern w:val="0"/>
          <w:sz w:val="32"/>
          <w:szCs w:val="32"/>
        </w:rPr>
      </w:pPr>
      <w:bookmarkStart w:id="38" w:name="_Toc6062"/>
      <w:bookmarkStart w:id="39" w:name="_Toc2183"/>
      <w:r>
        <w:rPr>
          <w:rFonts w:ascii="黑体" w:eastAsia="黑体" w:hAnsi="黑体" w:cs="宋体" w:hint="eastAsia"/>
          <w:bCs/>
          <w:kern w:val="0"/>
          <w:sz w:val="32"/>
          <w:szCs w:val="32"/>
        </w:rPr>
        <w:t>一、《收入支出决算总表》</w:t>
      </w:r>
      <w:bookmarkEnd w:id="38"/>
      <w:bookmarkEnd w:id="39"/>
    </w:p>
    <w:p w14:paraId="004B471D" w14:textId="77777777" w:rsidR="008853A8" w:rsidRDefault="008853A8">
      <w:pPr>
        <w:ind w:firstLineChars="200" w:firstLine="640"/>
        <w:outlineLvl w:val="1"/>
        <w:rPr>
          <w:rFonts w:ascii="黑体" w:eastAsia="黑体" w:hAnsi="黑体" w:cs="宋体"/>
          <w:bCs/>
          <w:kern w:val="0"/>
          <w:sz w:val="32"/>
          <w:szCs w:val="32"/>
        </w:rPr>
      </w:pPr>
      <w:bookmarkStart w:id="40" w:name="_Toc30364"/>
      <w:bookmarkStart w:id="41" w:name="_Toc24532"/>
      <w:r>
        <w:rPr>
          <w:rFonts w:ascii="黑体" w:eastAsia="黑体" w:hAnsi="黑体" w:cs="宋体" w:hint="eastAsia"/>
          <w:bCs/>
          <w:kern w:val="0"/>
          <w:sz w:val="32"/>
          <w:szCs w:val="32"/>
        </w:rPr>
        <w:t>二、《收入决算表》</w:t>
      </w:r>
      <w:bookmarkEnd w:id="40"/>
      <w:bookmarkEnd w:id="41"/>
    </w:p>
    <w:p w14:paraId="62F3C64D" w14:textId="77777777" w:rsidR="008853A8" w:rsidRDefault="008853A8">
      <w:pPr>
        <w:ind w:firstLineChars="200" w:firstLine="640"/>
        <w:outlineLvl w:val="1"/>
        <w:rPr>
          <w:rFonts w:ascii="黑体" w:eastAsia="黑体" w:hAnsi="黑体" w:cs="宋体"/>
          <w:bCs/>
          <w:kern w:val="0"/>
          <w:sz w:val="32"/>
          <w:szCs w:val="32"/>
        </w:rPr>
      </w:pPr>
      <w:bookmarkStart w:id="42" w:name="_Toc21304"/>
      <w:bookmarkStart w:id="43" w:name="_Toc32434"/>
      <w:r>
        <w:rPr>
          <w:rFonts w:ascii="黑体" w:eastAsia="黑体" w:hAnsi="黑体" w:cs="宋体" w:hint="eastAsia"/>
          <w:bCs/>
          <w:kern w:val="0"/>
          <w:sz w:val="32"/>
          <w:szCs w:val="32"/>
        </w:rPr>
        <w:t>三、《支出决算表》</w:t>
      </w:r>
      <w:bookmarkEnd w:id="42"/>
      <w:bookmarkEnd w:id="43"/>
    </w:p>
    <w:p w14:paraId="3D0B5C9A" w14:textId="77777777" w:rsidR="008853A8" w:rsidRDefault="008853A8">
      <w:pPr>
        <w:ind w:firstLineChars="200" w:firstLine="640"/>
        <w:outlineLvl w:val="1"/>
        <w:rPr>
          <w:rFonts w:ascii="黑体" w:eastAsia="黑体" w:hAnsi="黑体" w:cs="宋体"/>
          <w:bCs/>
          <w:kern w:val="0"/>
          <w:sz w:val="32"/>
          <w:szCs w:val="32"/>
        </w:rPr>
      </w:pPr>
      <w:bookmarkStart w:id="44" w:name="_Toc14238"/>
      <w:bookmarkStart w:id="45" w:name="_Toc28786"/>
      <w:r>
        <w:rPr>
          <w:rFonts w:ascii="黑体" w:eastAsia="黑体" w:hAnsi="黑体" w:cs="宋体" w:hint="eastAsia"/>
          <w:bCs/>
          <w:kern w:val="0"/>
          <w:sz w:val="32"/>
          <w:szCs w:val="32"/>
        </w:rPr>
        <w:t>四、《财政拨款收入支出决算总表》</w:t>
      </w:r>
      <w:bookmarkEnd w:id="44"/>
      <w:bookmarkEnd w:id="45"/>
    </w:p>
    <w:p w14:paraId="77EC65FF" w14:textId="77777777" w:rsidR="008853A8" w:rsidRDefault="008853A8">
      <w:pPr>
        <w:ind w:firstLineChars="200" w:firstLine="640"/>
        <w:outlineLvl w:val="1"/>
        <w:rPr>
          <w:rFonts w:ascii="黑体" w:eastAsia="黑体" w:hAnsi="黑体" w:cs="宋体"/>
          <w:bCs/>
          <w:kern w:val="0"/>
          <w:sz w:val="32"/>
          <w:szCs w:val="32"/>
        </w:rPr>
      </w:pPr>
      <w:bookmarkStart w:id="46" w:name="_Toc10347"/>
      <w:bookmarkStart w:id="47" w:name="_Toc14869"/>
      <w:r>
        <w:rPr>
          <w:rFonts w:ascii="黑体" w:eastAsia="黑体" w:hAnsi="黑体" w:cs="宋体" w:hint="eastAsia"/>
          <w:bCs/>
          <w:kern w:val="0"/>
          <w:sz w:val="32"/>
          <w:szCs w:val="32"/>
        </w:rPr>
        <w:t>五、《一般公共预算财政拨款支出决算表》</w:t>
      </w:r>
      <w:bookmarkEnd w:id="46"/>
      <w:bookmarkEnd w:id="47"/>
    </w:p>
    <w:p w14:paraId="4311D09D" w14:textId="77777777" w:rsidR="008853A8" w:rsidRDefault="008853A8">
      <w:pPr>
        <w:ind w:firstLineChars="200" w:firstLine="640"/>
        <w:outlineLvl w:val="1"/>
        <w:rPr>
          <w:rFonts w:ascii="黑体" w:eastAsia="黑体" w:hAnsi="黑体" w:cs="宋体"/>
          <w:bCs/>
          <w:kern w:val="0"/>
          <w:sz w:val="32"/>
          <w:szCs w:val="32"/>
        </w:rPr>
      </w:pPr>
      <w:bookmarkStart w:id="48" w:name="_Toc5626"/>
      <w:bookmarkStart w:id="49" w:name="_Toc8884"/>
      <w:r>
        <w:rPr>
          <w:rFonts w:ascii="黑体" w:eastAsia="黑体" w:hAnsi="黑体" w:cs="宋体" w:hint="eastAsia"/>
          <w:bCs/>
          <w:kern w:val="0"/>
          <w:sz w:val="32"/>
          <w:szCs w:val="32"/>
        </w:rPr>
        <w:t>六、《一般公共预算财政拨款基本支出决算表》</w:t>
      </w:r>
      <w:bookmarkEnd w:id="48"/>
      <w:bookmarkEnd w:id="49"/>
    </w:p>
    <w:p w14:paraId="1D7CDCF2" w14:textId="77777777" w:rsidR="008853A8" w:rsidRDefault="008853A8">
      <w:pPr>
        <w:ind w:firstLineChars="200" w:firstLine="640"/>
        <w:outlineLvl w:val="1"/>
        <w:rPr>
          <w:rFonts w:ascii="黑体" w:eastAsia="黑体" w:hAnsi="黑体" w:cs="宋体"/>
          <w:bCs/>
          <w:kern w:val="0"/>
          <w:sz w:val="32"/>
          <w:szCs w:val="32"/>
        </w:rPr>
      </w:pPr>
      <w:bookmarkStart w:id="50" w:name="_Toc32663"/>
      <w:bookmarkStart w:id="51" w:name="_Toc29106"/>
      <w:r>
        <w:rPr>
          <w:rFonts w:ascii="黑体" w:eastAsia="黑体" w:hAnsi="黑体" w:cs="宋体" w:hint="eastAsia"/>
          <w:bCs/>
          <w:kern w:val="0"/>
          <w:sz w:val="32"/>
          <w:szCs w:val="32"/>
        </w:rPr>
        <w:t>七、《一般公共预算财政拨款“三公”经费支出决算表》</w:t>
      </w:r>
      <w:bookmarkEnd w:id="50"/>
      <w:bookmarkEnd w:id="51"/>
    </w:p>
    <w:p w14:paraId="5A34F572" w14:textId="77777777" w:rsidR="008853A8" w:rsidRDefault="008853A8">
      <w:pPr>
        <w:ind w:firstLineChars="200" w:firstLine="640"/>
        <w:outlineLvl w:val="1"/>
        <w:rPr>
          <w:rFonts w:ascii="黑体" w:eastAsia="黑体" w:hAnsi="黑体" w:cs="宋体"/>
          <w:bCs/>
          <w:kern w:val="0"/>
          <w:sz w:val="32"/>
          <w:szCs w:val="32"/>
        </w:rPr>
      </w:pPr>
      <w:bookmarkStart w:id="52" w:name="_Toc5453"/>
      <w:bookmarkStart w:id="53" w:name="_Toc7643"/>
      <w:r>
        <w:rPr>
          <w:rFonts w:ascii="黑体" w:eastAsia="黑体" w:hAnsi="黑体" w:cs="宋体" w:hint="eastAsia"/>
          <w:bCs/>
          <w:kern w:val="0"/>
          <w:sz w:val="32"/>
          <w:szCs w:val="32"/>
        </w:rPr>
        <w:t>八、《政府性基金预算财政拨款收入支出决算表》</w:t>
      </w:r>
      <w:bookmarkEnd w:id="52"/>
      <w:bookmarkEnd w:id="53"/>
    </w:p>
    <w:sectPr w:rsidR="008853A8">
      <w:footerReference w:type="default" r:id="rId6"/>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C45808" w14:textId="77777777" w:rsidR="0088099A" w:rsidRDefault="0088099A">
      <w:r>
        <w:separator/>
      </w:r>
    </w:p>
  </w:endnote>
  <w:endnote w:type="continuationSeparator" w:id="0">
    <w:p w14:paraId="1F226AA3" w14:textId="77777777" w:rsidR="0088099A" w:rsidRDefault="008809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微软雅黑"/>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2C3B13" w14:textId="7F39015E" w:rsidR="008853A8" w:rsidRDefault="004F1D2D">
    <w:pPr>
      <w:pStyle w:val="a4"/>
    </w:pPr>
    <w:r>
      <w:rPr>
        <w:noProof/>
      </w:rPr>
      <mc:AlternateContent>
        <mc:Choice Requires="wps">
          <w:drawing>
            <wp:anchor distT="0" distB="0" distL="114300" distR="114300" simplePos="0" relativeHeight="251657728" behindDoc="0" locked="0" layoutInCell="1" allowOverlap="1" wp14:anchorId="5D818AEF" wp14:editId="432F0E00">
              <wp:simplePos x="0" y="0"/>
              <wp:positionH relativeFrom="margin">
                <wp:align>center</wp:align>
              </wp:positionH>
              <wp:positionV relativeFrom="paragraph">
                <wp:posOffset>0</wp:posOffset>
              </wp:positionV>
              <wp:extent cx="1828800" cy="1828800"/>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BBD847" w14:textId="77777777"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D818AEF" id="_x0000_t202" coordsize="21600,21600" o:spt="202" path="m,l,21600r21600,l21600,xe">
              <v:stroke joinstyle="miter"/>
              <v:path gradientshapeok="t" o:connecttype="rect"/>
            </v:shapetype>
            <v:shape id="文本框 1" o:spid="_x0000_s1026" type="#_x0000_t202" style="position:absolute;margin-left:0;margin-top:0;width:2in;height:2in;z-index:25165772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AencV47QEAALYDAAAOAAAAZHJzL2Uyb0RvYy54bWysU82O0zAQviPxDpbvNGkPqIqarpZdFSEt P9LCAziOk1jEHmvsNikPAG/AiQt3nqvPwdhpyrJ7Q1yssT3+5ptvPm+uRtOzg0KvwZZ8ucg5U1ZC rW1b8k8fdy/WnPkgbC16sKrkR+X51fb5s83gCrWCDvpaISMQ64vBlbwLwRVZ5mWnjPALcMrSZQNo RKAttlmNYiB002erPH+ZDYC1Q5DKezq9nS75NuE3jZLhfdN4FVhfcuIW0oppreKabTeiaFG4Tssz DfEPLIzQlopeoG5FEGyP+gmU0RLBQxMWEkwGTaOlSj1QN8v8UTf3nXAq9ULieHeRyf8/WPnu8AGZ rml2nFlhaESn799OP36dfn5lyyjP4HxBWfeO8sL4CsaYGlv17g7kZ88s3HTCtuoaEYZOiZropZfZ g6cTjo8g1fAWaqoj9gES0NigiYCkBiN0GtPxMho1BiZjyfVqvc7pStLdvCF2mSjm5w59eK3AsBiU HGn2CV4c7nyYUueUWM3CTvd9mn9v/zogzHiS6EfGE/cwVuNZjgrqIzWCMNmJ7E9BB/iFs4GsVHJL Xuesf2NJiui6OcA5qOZAWEkPSx44m8KbMLlz71C3HeHOYl+TXDudGom6ThzOLMkcSYqzkaP7Hu5T 1p/vtv0NAAD//wMAUEsDBBQABgAIAAAAIQAMSvDu1gAAAAUBAAAPAAAAZHJzL2Rvd25yZXYueG1s TI9Ba8MwDIXvg/4Ho8Juq9MetpDFKaXQS2/rxmA3N1bjMFsOtpsm/37aGGwXoccTT9+rt5N3YsSY +kAK1qsCBFIbTE+dgrfXw0MJImVNRrtAqGDGBNtmcVfryoQbveB4yp3gEEqVVmBzHiopU2vR67QK AxJ7lxC9zixjJ03UNw73Tm6K4lF63RN/sHrAvcX283T1Cp6m94BDwj1+XMY22n4u3XFW6n457Z5B ZJzy3zF84zM6NMx0DlcySTgFXCT/TPY2Zcny/LvIppb/6ZsvAAAA//8DAFBLAQItABQABgAIAAAA IQC2gziS/gAAAOEBAAATAAAAAAAAAAAAAAAAAAAAAABbQ29udGVudF9UeXBlc10ueG1sUEsBAi0A FAAGAAgAAAAhADj9If/WAAAAlAEAAAsAAAAAAAAAAAAAAAAALwEAAF9yZWxzLy5yZWxzUEsBAi0A FAAGAAgAAAAhAB6dxXjtAQAAtgMAAA4AAAAAAAAAAAAAAAAALgIAAGRycy9lMm9Eb2MueG1sUEsB Ai0AFAAGAAgAAAAhAAxK8O7WAAAABQEAAA8AAAAAAAAAAAAAAAAARwQAAGRycy9kb3ducmV2Lnht bFBLBQYAAAAABAAEAPMAAABKBQAAAAA= " filled="f" stroked="f">
              <v:textbox style="mso-fit-shape-to-text:t" inset="0,0,0,0">
                <w:txbxContent>
                  <w:p w14:paraId="4DBBD847" w14:textId="77777777"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31E4CB" w14:textId="77777777" w:rsidR="0088099A" w:rsidRDefault="0088099A">
      <w:r>
        <w:separator/>
      </w:r>
    </w:p>
  </w:footnote>
  <w:footnote w:type="continuationSeparator" w:id="0">
    <w:p w14:paraId="30BF4204" w14:textId="77777777" w:rsidR="0088099A" w:rsidRDefault="008809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bordersDoNotSurroundHeader/>
  <w:bordersDoNotSurroundFooter/>
  <w:documentProtection w:enforcement="1" w:edit="comments" w:salt="z+yGi01ujw36xoEgcHuCzQ==" w:hash="DkhKrIGNIs2eySzieeU0jjZyA4k=" w:cryptSpinCount="100000" w:cryptAlgorithmType="typeAny" w:cryptAlgorithmClass="hash" w:cryptProviderType="rsaFull" w:cryptAlgorithmSid="4"/>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6E66"/>
    <w:rsid w:val="000033EF"/>
    <w:rsid w:val="00004533"/>
    <w:rsid w:val="00005A21"/>
    <w:rsid w:val="0004063C"/>
    <w:rsid w:val="000701A7"/>
    <w:rsid w:val="00082456"/>
    <w:rsid w:val="000A663A"/>
    <w:rsid w:val="000B5514"/>
    <w:rsid w:val="000B57B8"/>
    <w:rsid w:val="000B69AB"/>
    <w:rsid w:val="000F01B7"/>
    <w:rsid w:val="000F6705"/>
    <w:rsid w:val="001111D4"/>
    <w:rsid w:val="001128A8"/>
    <w:rsid w:val="001130AE"/>
    <w:rsid w:val="001237CF"/>
    <w:rsid w:val="00125A6F"/>
    <w:rsid w:val="0014029C"/>
    <w:rsid w:val="00144642"/>
    <w:rsid w:val="00146FA3"/>
    <w:rsid w:val="001573AA"/>
    <w:rsid w:val="00162E66"/>
    <w:rsid w:val="001826D1"/>
    <w:rsid w:val="001848EE"/>
    <w:rsid w:val="00186B3B"/>
    <w:rsid w:val="001C2D35"/>
    <w:rsid w:val="001C5BE8"/>
    <w:rsid w:val="001C6E66"/>
    <w:rsid w:val="001D3634"/>
    <w:rsid w:val="001D37EF"/>
    <w:rsid w:val="001E4D79"/>
    <w:rsid w:val="001F29A9"/>
    <w:rsid w:val="001F777A"/>
    <w:rsid w:val="002122DE"/>
    <w:rsid w:val="00227229"/>
    <w:rsid w:val="002328AF"/>
    <w:rsid w:val="00233021"/>
    <w:rsid w:val="0024217C"/>
    <w:rsid w:val="00243E6C"/>
    <w:rsid w:val="00246EBC"/>
    <w:rsid w:val="00265F92"/>
    <w:rsid w:val="00272845"/>
    <w:rsid w:val="00282550"/>
    <w:rsid w:val="00287829"/>
    <w:rsid w:val="0029171A"/>
    <w:rsid w:val="00292B7F"/>
    <w:rsid w:val="00292C0A"/>
    <w:rsid w:val="002A4B19"/>
    <w:rsid w:val="002B072F"/>
    <w:rsid w:val="002B37DA"/>
    <w:rsid w:val="002B7A04"/>
    <w:rsid w:val="002D187F"/>
    <w:rsid w:val="002F1732"/>
    <w:rsid w:val="003106FF"/>
    <w:rsid w:val="00327986"/>
    <w:rsid w:val="003314E6"/>
    <w:rsid w:val="00340AE7"/>
    <w:rsid w:val="00354737"/>
    <w:rsid w:val="0037159F"/>
    <w:rsid w:val="00377EC6"/>
    <w:rsid w:val="003920B8"/>
    <w:rsid w:val="003A44F0"/>
    <w:rsid w:val="003C3EF4"/>
    <w:rsid w:val="003D1DD1"/>
    <w:rsid w:val="003E5F70"/>
    <w:rsid w:val="003F60E1"/>
    <w:rsid w:val="00400D8F"/>
    <w:rsid w:val="004161A5"/>
    <w:rsid w:val="00430E56"/>
    <w:rsid w:val="004318F5"/>
    <w:rsid w:val="00456820"/>
    <w:rsid w:val="00471387"/>
    <w:rsid w:val="00471BBD"/>
    <w:rsid w:val="0047268F"/>
    <w:rsid w:val="004A41CF"/>
    <w:rsid w:val="004A44C9"/>
    <w:rsid w:val="004B2E7F"/>
    <w:rsid w:val="004B3B3F"/>
    <w:rsid w:val="004D35C0"/>
    <w:rsid w:val="004E519F"/>
    <w:rsid w:val="004F1D2D"/>
    <w:rsid w:val="004F506B"/>
    <w:rsid w:val="00531503"/>
    <w:rsid w:val="00534ECA"/>
    <w:rsid w:val="005358C2"/>
    <w:rsid w:val="005474EB"/>
    <w:rsid w:val="005506DD"/>
    <w:rsid w:val="005529D0"/>
    <w:rsid w:val="00553FB5"/>
    <w:rsid w:val="00554A58"/>
    <w:rsid w:val="00560394"/>
    <w:rsid w:val="0056525F"/>
    <w:rsid w:val="005B1DE6"/>
    <w:rsid w:val="005C11EB"/>
    <w:rsid w:val="006032AE"/>
    <w:rsid w:val="00684E46"/>
    <w:rsid w:val="0068591E"/>
    <w:rsid w:val="00690F22"/>
    <w:rsid w:val="00693012"/>
    <w:rsid w:val="006B0B73"/>
    <w:rsid w:val="006D2B94"/>
    <w:rsid w:val="006D3853"/>
    <w:rsid w:val="006E0721"/>
    <w:rsid w:val="0070295D"/>
    <w:rsid w:val="00725755"/>
    <w:rsid w:val="0075023C"/>
    <w:rsid w:val="00750D8A"/>
    <w:rsid w:val="00764051"/>
    <w:rsid w:val="00772611"/>
    <w:rsid w:val="007741F8"/>
    <w:rsid w:val="007B0022"/>
    <w:rsid w:val="007E2E4F"/>
    <w:rsid w:val="007E3BFD"/>
    <w:rsid w:val="00807B4B"/>
    <w:rsid w:val="008144CF"/>
    <w:rsid w:val="00822EED"/>
    <w:rsid w:val="00827663"/>
    <w:rsid w:val="00847CE1"/>
    <w:rsid w:val="00852D88"/>
    <w:rsid w:val="00857132"/>
    <w:rsid w:val="00862395"/>
    <w:rsid w:val="0088099A"/>
    <w:rsid w:val="008853A8"/>
    <w:rsid w:val="00887778"/>
    <w:rsid w:val="008A54C1"/>
    <w:rsid w:val="008D5B57"/>
    <w:rsid w:val="008F7D99"/>
    <w:rsid w:val="0090080D"/>
    <w:rsid w:val="00922FA7"/>
    <w:rsid w:val="00927301"/>
    <w:rsid w:val="009351E1"/>
    <w:rsid w:val="0094423A"/>
    <w:rsid w:val="0095219B"/>
    <w:rsid w:val="00963E2E"/>
    <w:rsid w:val="009774AD"/>
    <w:rsid w:val="00980F6F"/>
    <w:rsid w:val="00993788"/>
    <w:rsid w:val="009A173F"/>
    <w:rsid w:val="009C479E"/>
    <w:rsid w:val="009F4245"/>
    <w:rsid w:val="009F594D"/>
    <w:rsid w:val="00A009B3"/>
    <w:rsid w:val="00A239E7"/>
    <w:rsid w:val="00A34EDA"/>
    <w:rsid w:val="00A77ECE"/>
    <w:rsid w:val="00AA13D0"/>
    <w:rsid w:val="00AC0B18"/>
    <w:rsid w:val="00AC1D87"/>
    <w:rsid w:val="00AC2605"/>
    <w:rsid w:val="00AE136F"/>
    <w:rsid w:val="00AE6C82"/>
    <w:rsid w:val="00AE7A56"/>
    <w:rsid w:val="00AF0871"/>
    <w:rsid w:val="00AF530E"/>
    <w:rsid w:val="00AF5DFE"/>
    <w:rsid w:val="00B006E5"/>
    <w:rsid w:val="00B24234"/>
    <w:rsid w:val="00B3219F"/>
    <w:rsid w:val="00B42062"/>
    <w:rsid w:val="00B64D13"/>
    <w:rsid w:val="00B76725"/>
    <w:rsid w:val="00BC38D2"/>
    <w:rsid w:val="00BC65E4"/>
    <w:rsid w:val="00BE0A9F"/>
    <w:rsid w:val="00BF4880"/>
    <w:rsid w:val="00C01003"/>
    <w:rsid w:val="00C2317E"/>
    <w:rsid w:val="00C87860"/>
    <w:rsid w:val="00C92609"/>
    <w:rsid w:val="00C974A0"/>
    <w:rsid w:val="00CA0969"/>
    <w:rsid w:val="00CB7A14"/>
    <w:rsid w:val="00CC66CE"/>
    <w:rsid w:val="00CD1E0A"/>
    <w:rsid w:val="00CE40E2"/>
    <w:rsid w:val="00CE4AEB"/>
    <w:rsid w:val="00CE74CB"/>
    <w:rsid w:val="00D00B68"/>
    <w:rsid w:val="00D04E19"/>
    <w:rsid w:val="00D6644C"/>
    <w:rsid w:val="00D71F68"/>
    <w:rsid w:val="00D767F4"/>
    <w:rsid w:val="00DA07A0"/>
    <w:rsid w:val="00DB4A9A"/>
    <w:rsid w:val="00DB6F81"/>
    <w:rsid w:val="00DD3B82"/>
    <w:rsid w:val="00E02851"/>
    <w:rsid w:val="00E43F43"/>
    <w:rsid w:val="00E76594"/>
    <w:rsid w:val="00EA656B"/>
    <w:rsid w:val="00EB1FF2"/>
    <w:rsid w:val="00EB42AF"/>
    <w:rsid w:val="00EB49C8"/>
    <w:rsid w:val="00EE3598"/>
    <w:rsid w:val="00EE791B"/>
    <w:rsid w:val="00EF3292"/>
    <w:rsid w:val="00F040C7"/>
    <w:rsid w:val="00F04DC0"/>
    <w:rsid w:val="00F24BA1"/>
    <w:rsid w:val="00F45607"/>
    <w:rsid w:val="00F552F7"/>
    <w:rsid w:val="00F57EE2"/>
    <w:rsid w:val="00F67C07"/>
    <w:rsid w:val="00F777E1"/>
    <w:rsid w:val="00F80266"/>
    <w:rsid w:val="00F83E19"/>
    <w:rsid w:val="00FB3828"/>
    <w:rsid w:val="00FC7A52"/>
    <w:rsid w:val="00FE0761"/>
    <w:rsid w:val="00FF5166"/>
    <w:rsid w:val="06792773"/>
    <w:rsid w:val="1DAF458D"/>
    <w:rsid w:val="2A053397"/>
    <w:rsid w:val="2D1136DF"/>
    <w:rsid w:val="31C63837"/>
    <w:rsid w:val="3D5275AC"/>
    <w:rsid w:val="46901EEE"/>
    <w:rsid w:val="469C74D2"/>
    <w:rsid w:val="50DB5F45"/>
    <w:rsid w:val="69AD798C"/>
    <w:rsid w:val="6B68175F"/>
    <w:rsid w:val="73FB6630"/>
    <w:rsid w:val="77ED6F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A131AF"/>
  <w15:chartTrackingRefBased/>
  <w15:docId w15:val="{7A89F94D-944E-49B7-A5B0-21D8D0FEA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2">
    <w:name w:val="toc 2"/>
    <w:basedOn w:val="a"/>
    <w:next w:val="a"/>
    <w:pPr>
      <w:ind w:leftChars="200" w:left="420"/>
    </w:pPr>
  </w:style>
  <w:style w:type="paragraph" w:styleId="TOC1">
    <w:name w:val="toc 1"/>
    <w:basedOn w:val="a"/>
    <w:next w:val="a"/>
  </w:style>
  <w:style w:type="paragraph" w:styleId="a3">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3">
    <w:name w:val="toc 3"/>
    <w:basedOn w:val="a"/>
    <w:next w:val="a"/>
    <w:pPr>
      <w:ind w:leftChars="400" w:left="840"/>
    </w:pPr>
  </w:style>
  <w:style w:type="paragraph" w:styleId="a4">
    <w:name w:val="footer"/>
    <w:basedOn w:val="a"/>
    <w:pPr>
      <w:tabs>
        <w:tab w:val="center" w:pos="4153"/>
        <w:tab w:val="right" w:pos="8306"/>
      </w:tabs>
      <w:snapToGrid w:val="0"/>
      <w:jc w:val="left"/>
    </w:pPr>
    <w:rPr>
      <w:sz w:val="18"/>
    </w:rPr>
  </w:style>
  <w:style w:type="paragraph" w:styleId="a5">
    <w:name w:val="annotation text"/>
    <w:basedOn w:val="a"/>
    <w:pPr>
      <w:jc w:val="left"/>
    </w:pPr>
  </w:style>
  <w:style w:type="paragraph" w:customStyle="1" w:styleId="WPSOffice3">
    <w:name w:val="WPSOffice手动目录 3"/>
    <w:pPr>
      <w:ind w:leftChars="400" w:left="400"/>
    </w:pPr>
  </w:style>
  <w:style w:type="paragraph" w:customStyle="1" w:styleId="WPSOffice2">
    <w:name w:val="WPSOffice手动目录 2"/>
    <w:pPr>
      <w:ind w:leftChars="200" w:left="200"/>
    </w:pPr>
  </w:style>
  <w:style w:type="paragraph" w:customStyle="1" w:styleId="WPSOffice1">
    <w:name w:val="WPSOffice手动目录 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7381100">
      <w:bodyDiv w:val="1"/>
      <w:marLeft w:val="0"/>
      <w:marRight w:val="0"/>
      <w:marTop w:val="0"/>
      <w:marBottom w:val="0"/>
      <w:divBdr>
        <w:top w:val="none" w:sz="0" w:space="0" w:color="auto"/>
        <w:left w:val="none" w:sz="0" w:space="0" w:color="auto"/>
        <w:bottom w:val="none" w:sz="0" w:space="0" w:color="auto"/>
        <w:right w:val="none" w:sz="0" w:space="0" w:color="auto"/>
      </w:divBdr>
    </w:div>
    <w:div w:id="726150857">
      <w:bodyDiv w:val="1"/>
      <w:marLeft w:val="0"/>
      <w:marRight w:val="0"/>
      <w:marTop w:val="0"/>
      <w:marBottom w:val="0"/>
      <w:divBdr>
        <w:top w:val="none" w:sz="0" w:space="0" w:color="auto"/>
        <w:left w:val="none" w:sz="0" w:space="0" w:color="auto"/>
        <w:bottom w:val="none" w:sz="0" w:space="0" w:color="auto"/>
        <w:right w:val="none" w:sz="0" w:space="0" w:color="auto"/>
      </w:divBdr>
    </w:div>
    <w:div w:id="1085761621">
      <w:bodyDiv w:val="1"/>
      <w:marLeft w:val="0"/>
      <w:marRight w:val="0"/>
      <w:marTop w:val="0"/>
      <w:marBottom w:val="0"/>
      <w:divBdr>
        <w:top w:val="none" w:sz="0" w:space="0" w:color="auto"/>
        <w:left w:val="none" w:sz="0" w:space="0" w:color="auto"/>
        <w:bottom w:val="none" w:sz="0" w:space="0" w:color="auto"/>
        <w:right w:val="none" w:sz="0" w:space="0" w:color="auto"/>
      </w:divBdr>
    </w:div>
    <w:div w:id="1572694809">
      <w:bodyDiv w:val="1"/>
      <w:marLeft w:val="0"/>
      <w:marRight w:val="0"/>
      <w:marTop w:val="0"/>
      <w:marBottom w:val="0"/>
      <w:divBdr>
        <w:top w:val="none" w:sz="0" w:space="0" w:color="auto"/>
        <w:left w:val="none" w:sz="0" w:space="0" w:color="auto"/>
        <w:bottom w:val="none" w:sz="0" w:space="0" w:color="auto"/>
        <w:right w:val="none" w:sz="0" w:space="0" w:color="auto"/>
      </w:divBdr>
    </w:div>
    <w:div w:id="1814247851">
      <w:bodyDiv w:val="1"/>
      <w:marLeft w:val="0"/>
      <w:marRight w:val="0"/>
      <w:marTop w:val="0"/>
      <w:marBottom w:val="0"/>
      <w:divBdr>
        <w:top w:val="none" w:sz="0" w:space="0" w:color="auto"/>
        <w:left w:val="none" w:sz="0" w:space="0" w:color="auto"/>
        <w:bottom w:val="none" w:sz="0" w:space="0" w:color="auto"/>
        <w:right w:val="none" w:sz="0" w:space="0" w:color="auto"/>
      </w:divBdr>
    </w:div>
    <w:div w:id="1847329340">
      <w:bodyDiv w:val="1"/>
      <w:marLeft w:val="0"/>
      <w:marRight w:val="0"/>
      <w:marTop w:val="0"/>
      <w:marBottom w:val="0"/>
      <w:divBdr>
        <w:top w:val="none" w:sz="0" w:space="0" w:color="auto"/>
        <w:left w:val="none" w:sz="0" w:space="0" w:color="auto"/>
        <w:bottom w:val="none" w:sz="0" w:space="0" w:color="auto"/>
        <w:right w:val="none" w:sz="0" w:space="0" w:color="auto"/>
      </w:divBdr>
    </w:div>
    <w:div w:id="1919709360">
      <w:bodyDiv w:val="1"/>
      <w:marLeft w:val="0"/>
      <w:marRight w:val="0"/>
      <w:marTop w:val="0"/>
      <w:marBottom w:val="0"/>
      <w:divBdr>
        <w:top w:val="none" w:sz="0" w:space="0" w:color="auto"/>
        <w:left w:val="none" w:sz="0" w:space="0" w:color="auto"/>
        <w:bottom w:val="none" w:sz="0" w:space="0" w:color="auto"/>
        <w:right w:val="none" w:sz="0" w:space="0" w:color="auto"/>
      </w:divBdr>
    </w:div>
    <w:div w:id="2019891532">
      <w:bodyDiv w:val="1"/>
      <w:marLeft w:val="0"/>
      <w:marRight w:val="0"/>
      <w:marTop w:val="0"/>
      <w:marBottom w:val="0"/>
      <w:divBdr>
        <w:top w:val="none" w:sz="0" w:space="0" w:color="auto"/>
        <w:left w:val="none" w:sz="0" w:space="0" w:color="auto"/>
        <w:bottom w:val="none" w:sz="0" w:space="0" w:color="auto"/>
        <w:right w:val="none" w:sz="0" w:space="0" w:color="auto"/>
      </w:divBdr>
    </w:div>
    <w:div w:id="2102601509">
      <w:bodyDiv w:val="1"/>
      <w:marLeft w:val="0"/>
      <w:marRight w:val="0"/>
      <w:marTop w:val="0"/>
      <w:marBottom w:val="0"/>
      <w:divBdr>
        <w:top w:val="none" w:sz="0" w:space="0" w:color="auto"/>
        <w:left w:val="none" w:sz="0" w:space="0" w:color="auto"/>
        <w:bottom w:val="none" w:sz="0" w:space="0" w:color="auto"/>
        <w:right w:val="none" w:sz="0" w:space="0" w:color="auto"/>
      </w:divBdr>
    </w:div>
    <w:div w:id="2108193054">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pixelsPerInch w:val="120"/>
</w:webSettings>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oter1.xml" Type="http://schemas.openxmlformats.org/officeDocument/2006/relationships/footer"/><Relationship Id="rId7" Target="fontTable.xml" Type="http://schemas.openxmlformats.org/officeDocument/2006/relationships/fontTable"/><Relationship Id="rId8"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1031</Words>
  <Characters>5881</Characters>
  <Application>Microsoft Office Word</Application>
  <DocSecurity>0</DocSecurity>
  <Lines>49</Lines>
  <Paragraphs>13</Paragraphs>
  <ScaleCrop>false</ScaleCrop>
  <Company/>
  <LinksUpToDate>false</LinksUpToDate>
  <CharactersWithSpaces>6899</CharactersWithSpaces>
  <SharedDoc>false</SharedDoc>
  <HLinks>
    <vt:vector size="162" baseType="variant">
      <vt:variant>
        <vt:i4>1179699</vt:i4>
      </vt:variant>
      <vt:variant>
        <vt:i4>80</vt:i4>
      </vt:variant>
      <vt:variant>
        <vt:i4>0</vt:i4>
      </vt:variant>
      <vt:variant>
        <vt:i4>5</vt:i4>
      </vt:variant>
      <vt:variant>
        <vt:lpwstr/>
      </vt:variant>
      <vt:variant>
        <vt:lpwstr>_Toc7643</vt:lpwstr>
      </vt:variant>
      <vt:variant>
        <vt:i4>1966131</vt:i4>
      </vt:variant>
      <vt:variant>
        <vt:i4>77</vt:i4>
      </vt:variant>
      <vt:variant>
        <vt:i4>0</vt:i4>
      </vt:variant>
      <vt:variant>
        <vt:i4>5</vt:i4>
      </vt:variant>
      <vt:variant>
        <vt:lpwstr/>
      </vt:variant>
      <vt:variant>
        <vt:lpwstr>_Toc29106</vt:lpwstr>
      </vt:variant>
      <vt:variant>
        <vt:i4>1769520</vt:i4>
      </vt:variant>
      <vt:variant>
        <vt:i4>74</vt:i4>
      </vt:variant>
      <vt:variant>
        <vt:i4>0</vt:i4>
      </vt:variant>
      <vt:variant>
        <vt:i4>5</vt:i4>
      </vt:variant>
      <vt:variant>
        <vt:lpwstr/>
      </vt:variant>
      <vt:variant>
        <vt:lpwstr>_Toc8884</vt:lpwstr>
      </vt:variant>
      <vt:variant>
        <vt:i4>1376313</vt:i4>
      </vt:variant>
      <vt:variant>
        <vt:i4>71</vt:i4>
      </vt:variant>
      <vt:variant>
        <vt:i4>0</vt:i4>
      </vt:variant>
      <vt:variant>
        <vt:i4>5</vt:i4>
      </vt:variant>
      <vt:variant>
        <vt:lpwstr/>
      </vt:variant>
      <vt:variant>
        <vt:lpwstr>_Toc14869</vt:lpwstr>
      </vt:variant>
      <vt:variant>
        <vt:i4>1507381</vt:i4>
      </vt:variant>
      <vt:variant>
        <vt:i4>68</vt:i4>
      </vt:variant>
      <vt:variant>
        <vt:i4>0</vt:i4>
      </vt:variant>
      <vt:variant>
        <vt:i4>5</vt:i4>
      </vt:variant>
      <vt:variant>
        <vt:lpwstr/>
      </vt:variant>
      <vt:variant>
        <vt:lpwstr>_Toc28786</vt:lpwstr>
      </vt:variant>
      <vt:variant>
        <vt:i4>1441847</vt:i4>
      </vt:variant>
      <vt:variant>
        <vt:i4>65</vt:i4>
      </vt:variant>
      <vt:variant>
        <vt:i4>0</vt:i4>
      </vt:variant>
      <vt:variant>
        <vt:i4>5</vt:i4>
      </vt:variant>
      <vt:variant>
        <vt:lpwstr/>
      </vt:variant>
      <vt:variant>
        <vt:lpwstr>_Toc32434</vt:lpwstr>
      </vt:variant>
      <vt:variant>
        <vt:i4>1048631</vt:i4>
      </vt:variant>
      <vt:variant>
        <vt:i4>62</vt:i4>
      </vt:variant>
      <vt:variant>
        <vt:i4>0</vt:i4>
      </vt:variant>
      <vt:variant>
        <vt:i4>5</vt:i4>
      </vt:variant>
      <vt:variant>
        <vt:lpwstr/>
      </vt:variant>
      <vt:variant>
        <vt:lpwstr>_Toc24532</vt:lpwstr>
      </vt:variant>
      <vt:variant>
        <vt:i4>1376314</vt:i4>
      </vt:variant>
      <vt:variant>
        <vt:i4>59</vt:i4>
      </vt:variant>
      <vt:variant>
        <vt:i4>0</vt:i4>
      </vt:variant>
      <vt:variant>
        <vt:i4>5</vt:i4>
      </vt:variant>
      <vt:variant>
        <vt:lpwstr/>
      </vt:variant>
      <vt:variant>
        <vt:lpwstr>_Toc2183</vt:lpwstr>
      </vt:variant>
      <vt:variant>
        <vt:i4>1900597</vt:i4>
      </vt:variant>
      <vt:variant>
        <vt:i4>56</vt:i4>
      </vt:variant>
      <vt:variant>
        <vt:i4>0</vt:i4>
      </vt:variant>
      <vt:variant>
        <vt:i4>5</vt:i4>
      </vt:variant>
      <vt:variant>
        <vt:lpwstr/>
      </vt:variant>
      <vt:variant>
        <vt:lpwstr>_Toc22784</vt:lpwstr>
      </vt:variant>
      <vt:variant>
        <vt:i4>1376310</vt:i4>
      </vt:variant>
      <vt:variant>
        <vt:i4>53</vt:i4>
      </vt:variant>
      <vt:variant>
        <vt:i4>0</vt:i4>
      </vt:variant>
      <vt:variant>
        <vt:i4>5</vt:i4>
      </vt:variant>
      <vt:variant>
        <vt:lpwstr/>
      </vt:variant>
      <vt:variant>
        <vt:lpwstr>_Toc3250</vt:lpwstr>
      </vt:variant>
      <vt:variant>
        <vt:i4>1966131</vt:i4>
      </vt:variant>
      <vt:variant>
        <vt:i4>50</vt:i4>
      </vt:variant>
      <vt:variant>
        <vt:i4>0</vt:i4>
      </vt:variant>
      <vt:variant>
        <vt:i4>5</vt:i4>
      </vt:variant>
      <vt:variant>
        <vt:lpwstr/>
      </vt:variant>
      <vt:variant>
        <vt:lpwstr>_Toc11283</vt:lpwstr>
      </vt:variant>
      <vt:variant>
        <vt:i4>1376305</vt:i4>
      </vt:variant>
      <vt:variant>
        <vt:i4>47</vt:i4>
      </vt:variant>
      <vt:variant>
        <vt:i4>0</vt:i4>
      </vt:variant>
      <vt:variant>
        <vt:i4>5</vt:i4>
      </vt:variant>
      <vt:variant>
        <vt:lpwstr/>
      </vt:variant>
      <vt:variant>
        <vt:lpwstr>_Toc8391</vt:lpwstr>
      </vt:variant>
      <vt:variant>
        <vt:i4>2424834</vt:i4>
      </vt:variant>
      <vt:variant>
        <vt:i4>44</vt:i4>
      </vt:variant>
      <vt:variant>
        <vt:i4>0</vt:i4>
      </vt:variant>
      <vt:variant>
        <vt:i4>5</vt:i4>
      </vt:variant>
      <vt:variant>
        <vt:lpwstr/>
      </vt:variant>
      <vt:variant>
        <vt:lpwstr>_Toc227</vt:lpwstr>
      </vt:variant>
      <vt:variant>
        <vt:i4>1179700</vt:i4>
      </vt:variant>
      <vt:variant>
        <vt:i4>41</vt:i4>
      </vt:variant>
      <vt:variant>
        <vt:i4>0</vt:i4>
      </vt:variant>
      <vt:variant>
        <vt:i4>5</vt:i4>
      </vt:variant>
      <vt:variant>
        <vt:lpwstr/>
      </vt:variant>
      <vt:variant>
        <vt:lpwstr>_Toc14519</vt:lpwstr>
      </vt:variant>
      <vt:variant>
        <vt:i4>1048626</vt:i4>
      </vt:variant>
      <vt:variant>
        <vt:i4>38</vt:i4>
      </vt:variant>
      <vt:variant>
        <vt:i4>0</vt:i4>
      </vt:variant>
      <vt:variant>
        <vt:i4>5</vt:i4>
      </vt:variant>
      <vt:variant>
        <vt:lpwstr/>
      </vt:variant>
      <vt:variant>
        <vt:lpwstr>_Toc1235</vt:lpwstr>
      </vt:variant>
      <vt:variant>
        <vt:i4>2031668</vt:i4>
      </vt:variant>
      <vt:variant>
        <vt:i4>35</vt:i4>
      </vt:variant>
      <vt:variant>
        <vt:i4>0</vt:i4>
      </vt:variant>
      <vt:variant>
        <vt:i4>5</vt:i4>
      </vt:variant>
      <vt:variant>
        <vt:lpwstr/>
      </vt:variant>
      <vt:variant>
        <vt:lpwstr>_Toc5810</vt:lpwstr>
      </vt:variant>
      <vt:variant>
        <vt:i4>1507383</vt:i4>
      </vt:variant>
      <vt:variant>
        <vt:i4>32</vt:i4>
      </vt:variant>
      <vt:variant>
        <vt:i4>0</vt:i4>
      </vt:variant>
      <vt:variant>
        <vt:i4>5</vt:i4>
      </vt:variant>
      <vt:variant>
        <vt:lpwstr/>
      </vt:variant>
      <vt:variant>
        <vt:lpwstr>_Toc21518</vt:lpwstr>
      </vt:variant>
      <vt:variant>
        <vt:i4>1048635</vt:i4>
      </vt:variant>
      <vt:variant>
        <vt:i4>29</vt:i4>
      </vt:variant>
      <vt:variant>
        <vt:i4>0</vt:i4>
      </vt:variant>
      <vt:variant>
        <vt:i4>5</vt:i4>
      </vt:variant>
      <vt:variant>
        <vt:lpwstr/>
      </vt:variant>
      <vt:variant>
        <vt:lpwstr>_Toc30870</vt:lpwstr>
      </vt:variant>
      <vt:variant>
        <vt:i4>1114161</vt:i4>
      </vt:variant>
      <vt:variant>
        <vt:i4>26</vt:i4>
      </vt:variant>
      <vt:variant>
        <vt:i4>0</vt:i4>
      </vt:variant>
      <vt:variant>
        <vt:i4>5</vt:i4>
      </vt:variant>
      <vt:variant>
        <vt:lpwstr/>
      </vt:variant>
      <vt:variant>
        <vt:lpwstr>_Toc20360</vt:lpwstr>
      </vt:variant>
      <vt:variant>
        <vt:i4>1507383</vt:i4>
      </vt:variant>
      <vt:variant>
        <vt:i4>23</vt:i4>
      </vt:variant>
      <vt:variant>
        <vt:i4>0</vt:i4>
      </vt:variant>
      <vt:variant>
        <vt:i4>5</vt:i4>
      </vt:variant>
      <vt:variant>
        <vt:lpwstr/>
      </vt:variant>
      <vt:variant>
        <vt:lpwstr>_Toc26564</vt:lpwstr>
      </vt:variant>
      <vt:variant>
        <vt:i4>1310771</vt:i4>
      </vt:variant>
      <vt:variant>
        <vt:i4>20</vt:i4>
      </vt:variant>
      <vt:variant>
        <vt:i4>0</vt:i4>
      </vt:variant>
      <vt:variant>
        <vt:i4>5</vt:i4>
      </vt:variant>
      <vt:variant>
        <vt:lpwstr/>
      </vt:variant>
      <vt:variant>
        <vt:lpwstr>_Toc13201</vt:lpwstr>
      </vt:variant>
      <vt:variant>
        <vt:i4>1114160</vt:i4>
      </vt:variant>
      <vt:variant>
        <vt:i4>17</vt:i4>
      </vt:variant>
      <vt:variant>
        <vt:i4>0</vt:i4>
      </vt:variant>
      <vt:variant>
        <vt:i4>5</vt:i4>
      </vt:variant>
      <vt:variant>
        <vt:lpwstr/>
      </vt:variant>
      <vt:variant>
        <vt:lpwstr>_Toc12142</vt:lpwstr>
      </vt:variant>
      <vt:variant>
        <vt:i4>1245233</vt:i4>
      </vt:variant>
      <vt:variant>
        <vt:i4>14</vt:i4>
      </vt:variant>
      <vt:variant>
        <vt:i4>0</vt:i4>
      </vt:variant>
      <vt:variant>
        <vt:i4>5</vt:i4>
      </vt:variant>
      <vt:variant>
        <vt:lpwstr/>
      </vt:variant>
      <vt:variant>
        <vt:lpwstr>_Toc25314</vt:lpwstr>
      </vt:variant>
      <vt:variant>
        <vt:i4>1638449</vt:i4>
      </vt:variant>
      <vt:variant>
        <vt:i4>11</vt:i4>
      </vt:variant>
      <vt:variant>
        <vt:i4>0</vt:i4>
      </vt:variant>
      <vt:variant>
        <vt:i4>5</vt:i4>
      </vt:variant>
      <vt:variant>
        <vt:lpwstr/>
      </vt:variant>
      <vt:variant>
        <vt:lpwstr>_Toc29374</vt:lpwstr>
      </vt:variant>
      <vt:variant>
        <vt:i4>1507383</vt:i4>
      </vt:variant>
      <vt:variant>
        <vt:i4>8</vt:i4>
      </vt:variant>
      <vt:variant>
        <vt:i4>0</vt:i4>
      </vt:variant>
      <vt:variant>
        <vt:i4>5</vt:i4>
      </vt:variant>
      <vt:variant>
        <vt:lpwstr/>
      </vt:variant>
      <vt:variant>
        <vt:lpwstr>_Toc2151</vt:lpwstr>
      </vt:variant>
      <vt:variant>
        <vt:i4>1114166</vt:i4>
      </vt:variant>
      <vt:variant>
        <vt:i4>5</vt:i4>
      </vt:variant>
      <vt:variant>
        <vt:i4>0</vt:i4>
      </vt:variant>
      <vt:variant>
        <vt:i4>5</vt:i4>
      </vt:variant>
      <vt:variant>
        <vt:lpwstr/>
      </vt:variant>
      <vt:variant>
        <vt:lpwstr>_Toc30567</vt:lpwstr>
      </vt:variant>
      <vt:variant>
        <vt:i4>1310768</vt:i4>
      </vt:variant>
      <vt:variant>
        <vt:i4>2</vt:i4>
      </vt:variant>
      <vt:variant>
        <vt:i4>0</vt:i4>
      </vt:variant>
      <vt:variant>
        <vt:i4>5</vt:i4>
      </vt:variant>
      <vt:variant>
        <vt:lpwstr/>
      </vt:variant>
      <vt:variant>
        <vt:lpwstr>_Toc32314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2020-09-08T14:04:00Z</dcterms:created>
  <dc:creator>GXR</dc:creator>
  <cp:lastModifiedBy>Wevil Dwyane</cp:lastModifiedBy>
  <dcterms:modified xsi:type="dcterms:W3CDTF">2020-09-23T11:32:00Z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