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新疆喀什地区麦盖提县商务和工业信息化局2019年度部门决算公开说明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负责全县商务和经济信息化领域各行业的管理，监测分析工业经济运行态势，指导中小企业改革与发展，协调解决有关重大问题，并负责本县工业企业节能减排的综合协调和监督管理工作，对全县商贸流通企业加强监督管理，指导商业服务行业的协调发展，调查研究流通行业重大问题，提出政策建议。</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新疆喀什地区麦盖提县商务和工业信息化局2019年度，实有人数31人，其中：在职人员15人，离休人员1人，退休人员15人。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从部门决算单位构成看，新疆喀什地区麦盖提县商务和工业信息化局部门决算包括：新疆喀什地区麦盖提县商务和工业信息化局决算。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3,573.60万元，与上年相比，减少7,354.37万元，下降67.3%，主要原因是：扶贫项目资金较去年大幅减少。本年支出3,573.60万元，与上年相比，减少7,354.37万元，下降67.3%，主要原因是：扶贫项目资金较去年大幅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2019年度本年收入3,573.60万元，其中：财政拨款收入2,954.41万元，占82.67%；上级补助收入0万元，占0%；事业收入0万元，占0%；经营收入0万元，占0%；附属单位上缴收入0万元，占0%；其他收入619.19万元，占17.33%。</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2019年度本年支出3,573.60万元，其中：基本支出320.95万元，占8.98%；项目支出3,252.65万元，占91.02%；上缴上级支出0万元，占0%；经营支出0万元，占0%；对附属单位补助支出0万元，占0%。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2,954.41万元，与上年相比，减少7,973.56万元，下降72.96%，主要原因是：扶贫项目资金较去年大幅减少。财政拨款支出2,954.41万元，与上年相比，减少7,973.56万元，下降72.96%，主要原因是：扶贫项目资金较去年大幅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219.97万元，决算数2,954.41万元，预决算差异率1243.1%，主要原因是：年初预算只有本级项目以及预告知的项目，后期到达的部分专项资金通过预算追加下达，因此决算数大于年初预算数。财政拨款支出年初预算数219.97万元，决算数2,954.41万元，预决算差异率1243.1%，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2019年度一般公共预算财政拨款支出2,900.24万元。按功能分类科目项级科目公开，其中：</w:t>
      </w:r>
    </w:p>
    <w:p>
      <w:pPr>
        <w:ind w:firstLine="480"/>
        <w:jc w:val="both"/>
      </w:pPr>
      <w:r>
        <w:rPr>
          <w:rFonts w:ascii="仿宋_GB2312" w:hAnsi="仿宋_GB2312" w:cs="仿宋_GB2312" w:eastAsia="仿宋_GB2312"/>
          <w:b w:val="false"/>
          <w:sz w:val="32"/>
        </w:rPr>
        <w:t xml:space="preserve">   2011301行政运行支出275.49万元；</w:t>
      </w:r>
    </w:p>
    <w:p>
      <w:pPr>
        <w:ind w:firstLine="480"/>
        <w:jc w:val="both"/>
      </w:pPr>
      <w:r>
        <w:rPr>
          <w:rFonts w:ascii="仿宋_GB2312" w:hAnsi="仿宋_GB2312" w:cs="仿宋_GB2312" w:eastAsia="仿宋_GB2312"/>
          <w:b w:val="false"/>
          <w:sz w:val="32"/>
        </w:rPr>
        <w:t xml:space="preserve">   2011308招商引资支出5.23万元；</w:t>
      </w:r>
    </w:p>
    <w:p>
      <w:pPr>
        <w:ind w:firstLine="480"/>
        <w:jc w:val="both"/>
      </w:pPr>
      <w:r>
        <w:rPr>
          <w:rFonts w:ascii="仿宋_GB2312" w:hAnsi="仿宋_GB2312" w:cs="仿宋_GB2312" w:eastAsia="仿宋_GB2312"/>
          <w:b w:val="false"/>
          <w:sz w:val="32"/>
        </w:rPr>
        <w:t xml:space="preserve">   2011399其他商贸事务支出2万元；</w:t>
      </w:r>
    </w:p>
    <w:p>
      <w:pPr>
        <w:ind w:firstLine="480"/>
        <w:jc w:val="both"/>
      </w:pPr>
      <w:r>
        <w:rPr>
          <w:rFonts w:ascii="仿宋_GB2312" w:hAnsi="仿宋_GB2312" w:cs="仿宋_GB2312" w:eastAsia="仿宋_GB2312"/>
          <w:b w:val="false"/>
          <w:sz w:val="32"/>
        </w:rPr>
        <w:t xml:space="preserve">   2080505机关事业单位基本养老保险缴费支出23.04万元；</w:t>
      </w:r>
    </w:p>
    <w:p>
      <w:pPr>
        <w:ind w:firstLine="480"/>
        <w:jc w:val="both"/>
      </w:pPr>
      <w:r>
        <w:rPr>
          <w:rFonts w:ascii="仿宋_GB2312" w:hAnsi="仿宋_GB2312" w:cs="仿宋_GB2312" w:eastAsia="仿宋_GB2312"/>
          <w:b w:val="false"/>
          <w:sz w:val="32"/>
        </w:rPr>
        <w:t xml:space="preserve">   2111001能源节约利用支出50万元；</w:t>
      </w:r>
    </w:p>
    <w:p>
      <w:pPr>
        <w:ind w:firstLine="480"/>
        <w:jc w:val="both"/>
      </w:pPr>
      <w:r>
        <w:rPr>
          <w:rFonts w:ascii="仿宋_GB2312" w:hAnsi="仿宋_GB2312" w:cs="仿宋_GB2312" w:eastAsia="仿宋_GB2312"/>
          <w:b w:val="false"/>
          <w:sz w:val="32"/>
        </w:rPr>
        <w:t xml:space="preserve">   2130299其他林业和草原支出80万元；</w:t>
      </w:r>
    </w:p>
    <w:p>
      <w:pPr>
        <w:ind w:firstLine="480"/>
        <w:jc w:val="both"/>
      </w:pPr>
      <w:r>
        <w:rPr>
          <w:rFonts w:ascii="仿宋_GB2312" w:hAnsi="仿宋_GB2312" w:cs="仿宋_GB2312" w:eastAsia="仿宋_GB2312"/>
          <w:b w:val="false"/>
          <w:sz w:val="32"/>
        </w:rPr>
        <w:t xml:space="preserve">   2130505生产发展支出701.31万元；</w:t>
      </w:r>
    </w:p>
    <w:p>
      <w:pPr>
        <w:ind w:firstLine="480"/>
        <w:jc w:val="both"/>
      </w:pPr>
      <w:r>
        <w:rPr>
          <w:rFonts w:ascii="仿宋_GB2312" w:hAnsi="仿宋_GB2312" w:cs="仿宋_GB2312" w:eastAsia="仿宋_GB2312"/>
          <w:b w:val="false"/>
          <w:sz w:val="32"/>
        </w:rPr>
        <w:t xml:space="preserve">   2140599其他邮政业支出2.28万元；</w:t>
      </w:r>
    </w:p>
    <w:p>
      <w:pPr>
        <w:ind w:firstLine="480"/>
        <w:jc w:val="both"/>
      </w:pPr>
      <w:r>
        <w:rPr>
          <w:rFonts w:ascii="仿宋_GB2312" w:hAnsi="仿宋_GB2312" w:cs="仿宋_GB2312" w:eastAsia="仿宋_GB2312"/>
          <w:b w:val="false"/>
          <w:sz w:val="32"/>
        </w:rPr>
        <w:t xml:space="preserve">   2140602车辆购置税用于农村公路建设支出32.41万元；</w:t>
      </w:r>
    </w:p>
    <w:p>
      <w:pPr>
        <w:ind w:firstLine="480"/>
        <w:jc w:val="both"/>
      </w:pPr>
      <w:r>
        <w:rPr>
          <w:rFonts w:ascii="仿宋_GB2312" w:hAnsi="仿宋_GB2312" w:cs="仿宋_GB2312" w:eastAsia="仿宋_GB2312"/>
          <w:b w:val="false"/>
          <w:sz w:val="32"/>
        </w:rPr>
        <w:t xml:space="preserve">   2150204纺织业支出316.90万元；</w:t>
      </w:r>
    </w:p>
    <w:p>
      <w:pPr>
        <w:ind w:firstLine="480"/>
        <w:jc w:val="both"/>
      </w:pPr>
      <w:r>
        <w:rPr>
          <w:rFonts w:ascii="仿宋_GB2312" w:hAnsi="仿宋_GB2312" w:cs="仿宋_GB2312" w:eastAsia="仿宋_GB2312"/>
          <w:b w:val="false"/>
          <w:sz w:val="32"/>
        </w:rPr>
        <w:t xml:space="preserve">   2150299其他制造业支出425.56万元；</w:t>
      </w:r>
    </w:p>
    <w:p>
      <w:pPr>
        <w:ind w:firstLine="480"/>
        <w:jc w:val="both"/>
      </w:pPr>
      <w:r>
        <w:rPr>
          <w:rFonts w:ascii="仿宋_GB2312" w:hAnsi="仿宋_GB2312" w:cs="仿宋_GB2312" w:eastAsia="仿宋_GB2312"/>
          <w:b w:val="false"/>
          <w:sz w:val="32"/>
        </w:rPr>
        <w:t xml:space="preserve">   2150805中小企业发展专项支出100万元；</w:t>
      </w:r>
    </w:p>
    <w:p>
      <w:pPr>
        <w:ind w:firstLine="480"/>
        <w:jc w:val="both"/>
      </w:pPr>
      <w:r>
        <w:rPr>
          <w:rFonts w:ascii="仿宋_GB2312" w:hAnsi="仿宋_GB2312" w:cs="仿宋_GB2312" w:eastAsia="仿宋_GB2312"/>
          <w:b w:val="false"/>
          <w:sz w:val="32"/>
        </w:rPr>
        <w:t xml:space="preserve">   2150899其他支持中小企业发展和管理支出230万元；</w:t>
      </w:r>
    </w:p>
    <w:p>
      <w:pPr>
        <w:ind w:firstLine="480"/>
        <w:jc w:val="both"/>
      </w:pPr>
      <w:r>
        <w:rPr>
          <w:rFonts w:ascii="仿宋_GB2312" w:hAnsi="仿宋_GB2312" w:cs="仿宋_GB2312" w:eastAsia="仿宋_GB2312"/>
          <w:b w:val="false"/>
          <w:sz w:val="32"/>
        </w:rPr>
        <w:t xml:space="preserve">   2160299其他商业流通事务支出603万元；</w:t>
      </w:r>
    </w:p>
    <w:p>
      <w:pPr>
        <w:ind w:firstLine="480"/>
        <w:jc w:val="both"/>
      </w:pPr>
      <w:r>
        <w:rPr>
          <w:rFonts w:ascii="仿宋_GB2312" w:hAnsi="仿宋_GB2312" w:cs="仿宋_GB2312" w:eastAsia="仿宋_GB2312"/>
          <w:b w:val="false"/>
          <w:sz w:val="32"/>
        </w:rPr>
        <w:t xml:space="preserve">   2160699其他涉外发展服务支出35.83万元；</w:t>
      </w:r>
    </w:p>
    <w:p>
      <w:pPr>
        <w:ind w:firstLine="480"/>
        <w:jc w:val="both"/>
      </w:pPr>
      <w:r>
        <w:rPr>
          <w:rFonts w:ascii="仿宋_GB2312" w:hAnsi="仿宋_GB2312" w:cs="仿宋_GB2312" w:eastAsia="仿宋_GB2312"/>
          <w:b w:val="false"/>
          <w:sz w:val="32"/>
        </w:rPr>
        <w:t xml:space="preserve">   2210201住房公积金支出17.19万元。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2019年度一般公共预算财政拨款基本支出320.95万元，其中：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268.47万元，包括：基本工资、津贴补贴、奖金、机关事业单位基本养老保险缴费、职工基本医疗保险缴费、公务员医疗补助缴费、其他社会保障缴费、住房公积金、其他工资福利支出、离休费、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公用经费52.48万元，包括：办公费、会议费、委托业务费、公务用车运行维护费。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万元，比上年增加0.45万元，增长81.82%，主要原因是扶贫项目检查督导次数较多，下乡频繁，车辆燃油费增加。其中，因公出国（境）费支出0万元，占0%，比上年增加0万元，增长0%，主要原因是与上年相比无变动，与上年一致；公务用车购置及运行维护费支出1万元，占100%，比上年增加0.45万元，增长81.82%，主要原因是扶贫项目检查督导次数较多，下乡频繁，车辆燃油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公务用车购置及运行维护费1万元，其中，公务用车购置费0万元，公务用车运行维护费1万元。公务用车运行维护费开支内容包括车辆燃油、修理费、过路费。公务用车购置数0辆，公务用车保有量1辆。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1万元，预决算差异率-67.95%，主要原因是：厉行节约，压缩“三公”经费，部分指标未使用，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1万元，预决算差异率-67.95%，主要原因是：厉行节约，压缩“三公”经费，部分指标未使用，因此决算数小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54.17万元，与上年相比，增加54.17万元，增长100%，主要原因是：18年无政府性基金项目资金，19年新增扶贫工作台设备购置项目资金。政府性基金预算支出54.17万元，与上年相比，增加54.17万元，增长100%，主要原因是：18年无政府性基金项目资金，19年新增扶贫工作台设备购置项目资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2019年度新疆喀什地区麦盖提县商务和工业信息化局机关运行经费支出52.48万元，比上年增加46.38万元，增长760.33%，主要原因是会议费、委托业务费较去年增加。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31.26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11个，共涉及资金2616.81万元。预算绩效管理取得的成效：1、2019年山东援疆产业扶持乡村车间补助项目：按照专项资金管理办法，完成拨付7个乡镇的乡村车间补助资金和3个规上企业扶持资金，配套设施及改扩建已全部完成。2、麦盖提县农贸市场升级改造补贴项目：对县城农贸市场升级改造配套设施已全部建设完成，按照专项资金管理办法，完成拨付企业的工程款。3、2019年自治区节能减排专项补贴项目：按照专项资金管理办法，完成拨付1个企业的专项资金补贴，企业效益明显增加。4、劳动密集型企业专项补贴项目：2019年拨付8家劳动密集型企业运费、电费补贴，使企业达到降本增效的目的，充分发挥经济和社会效益，助推麦盖提县的经济发展。5、2019年农牧区投递员补助项目：邮政企业按时、足额将补贴资金发放到位，切实保障农牧区投递员队伍健全，提高农牧区邮政普遍服务水平，起到了积极的促进作用。6、支付2018年卫星厂房建设资金项目：完成29座卫星作坊建设任务，让农民实现就近就地就业的梦想，让贫困户真正脱贫。7、2019年自治区中小企业发展专项补贴项目：自治区中小企业发展专项补贴资金，用于支持中小企业公共服务体系建设，完善配套设施，改善招商引资条件和环境，推动农民就近就地就业，增加农民收益。8、央塔克乡保鲜库及附属设施建设项目：已建设保鲜库及附属设施2个；每个保鲜库容量1000m³，产权分别归属托万阿克提坎村1座、哈曼阔依地村1座。村集体收益，确保两不愁三保障，贫困户脱贫致富。9、五一林场冷藏保鲜库（冷藏库）及附属设施建设项目：2019年新建冷藏保鲜库1座已完工，覆盖五一林场林场贫困人口2319人，冷库产权归五一林场所有，采取租赁的方式经营，租金收益归五一林场所有，所有收益用于本林场扶贫攻坚事业。10、扶贫厂房设备购置项目：设备购置已完成，通过出租设备和扶贫工作台获得6万元，租金用于库木库萨尔村扶贫攻坚，助力本村脱贫攻坚；承租人使用扶贫设备加工本乡的核桃，收购本乡核桃价格高出市场价约0.1元/公斤，以此带动本乡的核桃产业发展，增加本乡就业人口，带动本乡集体脱贫。11、家政服务业信用体系建设项目：由于麦盖提县没有成熟的家政企业，所以没有符合条件的家政企业申报项目。发现的问题及原因：家政服务业信用体系建设项目未达成，原因为在项目实施过程中，因没有成熟的家政企业，所以没有符合条件的家政企业申报项目，资金未按时拨付。下一步改进措施：加大规上企业和重点企业的扶持力度，一方面对企业生产运营中存在的人员、销售等问题，及时对接相关部门，给予解决；另一方面，在政策允许的范围，优先为企业争取各类项目资金。及时掌握重点行业、重点产品产销情况，以及重要生产要素供需情况，及时发现经济运行中出现的新情况、新问题，研究解决办法，，对目标任务分解进行再细化、再明确、再落实，切实做到以月保季，以季保年，保障经济平稳较快发展。今后加强家政服务业信用体系建设专项资金申请，及时编写实施方案，并对各项指标和指标值的设定要进一步优化、完善。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GbUVDZtVMoP3uVNm4yqiAw==" w:hash="baVs8DD6dppTDhgoSuNJTSljMsM="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