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新疆喀什地区麦盖提县人民法院2019年度部门决算公开说明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（一）审判法律规定，基层人民法院应当依法在职权范围内受理和受理的自诉和公诉的刑事、民事、行政等第一审案件。</w:t>
      </w:r>
    </w:p>
    <w:p>
      <w:pPr>
        <w:ind w:firstLine="480"/>
        <w:jc w:val="both"/>
      </w:pPr>
      <w:r>
        <w:rPr>
          <w:rFonts w:ascii="仿宋_GB2312" w:hAnsi="仿宋_GB2312" w:eastAsia="仿宋_GB2312" w:cs="仿宋_GB2312"/>
          <w:b w:val="0"/>
          <w:sz w:val="32"/>
        </w:rPr>
        <w:t>（二）依法行使司法执行权和司法决定权。</w:t>
      </w:r>
    </w:p>
    <w:p>
      <w:pPr>
        <w:ind w:firstLine="480"/>
        <w:jc w:val="both"/>
      </w:pPr>
      <w:r>
        <w:rPr>
          <w:rFonts w:ascii="仿宋_GB2312" w:hAnsi="仿宋_GB2312" w:eastAsia="仿宋_GB2312" w:cs="仿宋_GB2312"/>
          <w:b w:val="0"/>
          <w:sz w:val="32"/>
        </w:rPr>
        <w:t>（三）依法决定国家赔偿。</w:t>
      </w:r>
    </w:p>
    <w:p>
      <w:pPr>
        <w:ind w:firstLine="480"/>
        <w:jc w:val="both"/>
      </w:pPr>
      <w:r>
        <w:rPr>
          <w:rFonts w:ascii="仿宋_GB2312" w:hAnsi="仿宋_GB2312" w:eastAsia="仿宋_GB2312" w:cs="仿宋_GB2312"/>
          <w:b w:val="0"/>
          <w:sz w:val="32"/>
        </w:rPr>
        <w:t>（五）行使审判监督职能。</w:t>
      </w:r>
    </w:p>
    <w:p>
      <w:pPr>
        <w:ind w:firstLine="480"/>
        <w:jc w:val="both"/>
      </w:pPr>
      <w:r>
        <w:rPr>
          <w:rFonts w:ascii="仿宋_GB2312" w:hAnsi="仿宋_GB2312" w:eastAsia="仿宋_GB2312" w:cs="仿宋_GB2312"/>
          <w:b w:val="0"/>
          <w:sz w:val="32"/>
        </w:rPr>
        <w:t>（六）研究、征集对法律、法规、规章草案的意见；对案件审理中发现的问题提出司法建议。</w:t>
      </w:r>
    </w:p>
    <w:p>
      <w:pPr>
        <w:ind w:firstLine="480"/>
        <w:jc w:val="both"/>
      </w:pPr>
      <w:r>
        <w:rPr>
          <w:rFonts w:ascii="仿宋_GB2312" w:hAnsi="仿宋_GB2312" w:eastAsia="仿宋_GB2312" w:cs="仿宋_GB2312"/>
          <w:b w:val="0"/>
          <w:sz w:val="32"/>
        </w:rPr>
        <w:t>（七）负责指导全县法院思想政治工作、教育培训工作；按照权限管理法官及其他人员；协助管理全县法院机构、人员编制工作；主管全县法院监察工作。</w:t>
      </w:r>
    </w:p>
    <w:p>
      <w:pPr>
        <w:ind w:firstLine="480"/>
        <w:jc w:val="both"/>
      </w:pPr>
      <w:r>
        <w:rPr>
          <w:rFonts w:ascii="仿宋_GB2312" w:hAnsi="仿宋_GB2312" w:eastAsia="仿宋_GB2312" w:cs="仿宋_GB2312"/>
          <w:b w:val="0"/>
          <w:sz w:val="32"/>
        </w:rPr>
        <w:t>（八）结合审判工作宣传法制，教育公民自觉遵守宪法和法律。</w:t>
      </w:r>
    </w:p>
    <w:p>
      <w:pPr>
        <w:ind w:firstLine="480"/>
        <w:jc w:val="both"/>
      </w:pPr>
      <w:r>
        <w:rPr>
          <w:rFonts w:ascii="仿宋_GB2312" w:hAnsi="仿宋_GB2312" w:eastAsia="仿宋_GB2312" w:cs="仿宋_GB2312"/>
          <w:b w:val="0"/>
          <w:sz w:val="32"/>
        </w:rPr>
        <w:t>（九）协调、管理、监督民众陪审员和调解员的各项工作。</w:t>
      </w:r>
    </w:p>
    <w:p>
      <w:pPr>
        <w:ind w:firstLine="480"/>
        <w:jc w:val="both"/>
      </w:pPr>
      <w:r>
        <w:rPr>
          <w:rFonts w:ascii="仿宋_GB2312" w:hAnsi="仿宋_GB2312" w:eastAsia="仿宋_GB2312" w:cs="仿宋_GB2312"/>
          <w:b w:val="0"/>
          <w:sz w:val="32"/>
        </w:rPr>
        <w:t>（十）承办其他应由基层法院负责的工作。</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新疆喀什地区麦盖提县人民法院2019年度，实有人数82人，其中：在职人员65人，离休人员0人，退休人员17人。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从部门决算单位构成看，新疆喀什地区麦盖提县人民法院部门决算包括：新疆喀什地区麦盖提县人民法院决算。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1,545.69万元，与上年相比，增加274.85万元，增长21.63%，主要原因是：援疆资金以及地区中院拨付的项目资金较去年增加。本年支出1,490.36万元，与上年相比，增加253.52万元，增长20.5%，主要原因是：援疆资金以及地区中院拨付的项目资金较去年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2019年度本年收入1,545.69万元，其中：财政拨款收入1,318.94万元，占85.33%；上级补助收入0万元，占0%；事业收入0万元，占0%；经营收入0万元，占0%；附属单位上缴收入0万元，占0%；其他收入226.75万元，占14.67%。</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2019年度本年支出1,490.36万元，其中：基本支出963.94万元，占64.68%；项目支出526.42万元，占35.32%；上缴上级支出0万元，占0%；经营支出0万元，占0%；对附属单位补助支出0万元，占0%。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1,318.94万元，与上年相比，增加53.10万元，增长4.19%，主要原因是：人员正常晋升，调资增资；发放绩效工资。财政拨款支出1,332.02万元，与上年相比，增加95.18万元，增长7.7%，主要原因是：人员正常晋升，调资增资；发放绩效工资，去年项目结转资金今年支付。</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1,026.06万元，决算数1,318.94万元，预决算差异率28.54%，主要原因是：年初预算项目资金少，实际到位专项资金多，因此决算数大于年初预算数。财政拨款支出年初预算数1,026.06万元，决算数1,332.02万元，预决算差异率29.82%，主要原因是：年初预算项目资金少，实际到位专项资金多，因此决算数大于年初预算数。</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2019年度一般公共预算财政拨款支出1,332.02万元。按功能分类科目项级科目公开，其中：</w:t>
      </w:r>
    </w:p>
    <w:p>
      <w:pPr>
        <w:ind w:firstLine="480"/>
        <w:jc w:val="both"/>
      </w:pPr>
      <w:r>
        <w:rPr>
          <w:rFonts w:ascii="仿宋_GB2312" w:hAnsi="仿宋_GB2312" w:eastAsia="仿宋_GB2312" w:cs="仿宋_GB2312"/>
          <w:b w:val="0"/>
          <w:sz w:val="32"/>
        </w:rPr>
        <w:t xml:space="preserve">   2040501行政运行支出809.34万元；</w:t>
      </w:r>
    </w:p>
    <w:p>
      <w:pPr>
        <w:ind w:firstLine="480"/>
        <w:jc w:val="both"/>
      </w:pPr>
      <w:r>
        <w:rPr>
          <w:rFonts w:ascii="仿宋_GB2312" w:hAnsi="仿宋_GB2312" w:eastAsia="仿宋_GB2312" w:cs="仿宋_GB2312"/>
          <w:b w:val="0"/>
          <w:sz w:val="32"/>
        </w:rPr>
        <w:t xml:space="preserve">   2040599其他法院支出292.09万元；</w:t>
      </w:r>
    </w:p>
    <w:p>
      <w:pPr>
        <w:ind w:firstLine="480"/>
        <w:jc w:val="both"/>
      </w:pPr>
      <w:r>
        <w:rPr>
          <w:rFonts w:ascii="仿宋_GB2312" w:hAnsi="仿宋_GB2312" w:eastAsia="仿宋_GB2312" w:cs="仿宋_GB2312"/>
          <w:b w:val="0"/>
          <w:sz w:val="32"/>
        </w:rPr>
        <w:t xml:space="preserve">   2049901其他公共安全支出76万元；</w:t>
      </w:r>
    </w:p>
    <w:p>
      <w:pPr>
        <w:ind w:firstLine="480"/>
        <w:jc w:val="both"/>
      </w:pPr>
      <w:r>
        <w:rPr>
          <w:rFonts w:ascii="仿宋_GB2312" w:hAnsi="仿宋_GB2312" w:eastAsia="仿宋_GB2312" w:cs="仿宋_GB2312"/>
          <w:b w:val="0"/>
          <w:sz w:val="32"/>
        </w:rPr>
        <w:t xml:space="preserve">   2080505机关事业单位基本养老保险缴费支出86.61万元；</w:t>
      </w:r>
    </w:p>
    <w:p>
      <w:pPr>
        <w:ind w:firstLine="480"/>
        <w:jc w:val="both"/>
      </w:pPr>
      <w:r>
        <w:rPr>
          <w:rFonts w:ascii="仿宋_GB2312" w:hAnsi="仿宋_GB2312" w:eastAsia="仿宋_GB2312" w:cs="仿宋_GB2312"/>
          <w:b w:val="0"/>
          <w:sz w:val="32"/>
        </w:rPr>
        <w:t xml:space="preserve">   2210201住房公积金支出67.98万元。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2019年度一般公共预算财政拨款基本支出963.94万元，其中：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人员经费947.69万元，包括：基本工资、津贴补贴、奖金、机关事业单位基本养老保险缴费、职工基本医疗保险缴费、公务员医疗补助缴费、其他社会保障缴费、住房公积金、退休费、抚恤金、生活补助、奖励金。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公用经费16.24万元，包括：取暖费。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34.50万元，比上年减少30.30万元，降低46.76%，主要原因是厉行节约，压缩“三公”开支。其中，因公出国（境）费支出0万元，占0%，比上年增加0万元，增长0%，主要原因是与上年相比无变动，与上年一致；公务用车购置及运行维护费支出34.50万元，占100%，比上年减少30.30万元，降低46.76%，主要原因是厉行节约，压缩“三公”开支；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因公出国（境）费支出0万元，开支内容包括：预算未安排，无此项开支。单位全年安排的因公出国（境）团组0个，因公出国（境）0人次。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公务用车购置及运行维护费34.50万元，其中，公务用车购置费0万元，公务用车运行维护费34.50万元。公务用车运行维护费开支内容包括车辆燃油费、维护费、保险费等。公务用车购置数0辆，公务用车保有量12辆。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公务接待费0万元，开支内容包括预算未安排，无此项开支。单位全年安排的国内公务接待0批次，0人次。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0万元，决算数34.50万元，预决算差异率100%，主要原因是：年初未安排预算，实际产生的“三公”经费从项目中开支，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0万元，决算数34.50万元，预决算差异率100%，主要原因是：年初未安排预算，实际产生的“三公”经费从项目中开支，因此决算数大于年初预算数；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2019年度新疆喀什地区麦盖提县人民法院机关运行经费支出16.24万元，比上年增加0万元，增长0%，主要原因是与上年相比无变动，与上年一致。</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2019年度政府采购支出总额49.85万元，其中：政府采购货物支出46.63万元、政府采购工程支出0万元、政府采购服务支出3.22万元。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授予中小企业合同金额3.22万元，占政府采购支出总额的6.46%，其中：授予小微企业合同金额3.22万元，占政府采购支出总额的6.46%。</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9,183.24（平方米），价值1,994.24万元。车辆12辆，价值152.99万元，其中：副部（省）级及以上领导用车0辆、主要领导干部用车0辆、机要通信用车0辆、应急保障用车0辆、执法执勤用车12辆、特种专业技术用车0辆、离退休干部用车0辆、其他用车0辆，其他用车主要是：无其他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根据预算绩效管理要求，我单位2019年度开展预算绩效评价项目0个，共涉及资金0万元。我单位项目涉密，不予公开。</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58C1961"/>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2020-10-04T08:26:47Z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