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新疆喀什地区麦盖提县发展和改革委员会2019年度部门决算公开说明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贯彻落实国家、自治区经济和社会发展方针、政策，研究提出全县国民经济和社会发展战略、中长期规划、年度发展计划，研究提出总量平衡、发展速度和结构调整的调控目标及调控政策;研究提出和组织实施重点专项规划，衔接、平衡各主要行业的行业规划。受县政府委托向县人大常务委员会提交国民经济和社会发展计划执行情况的报告</w:t>
      </w:r>
    </w:p>
    <w:p>
      <w:pPr>
        <w:ind w:firstLine="480"/>
        <w:jc w:val="both"/>
      </w:pPr>
      <w:r>
        <w:rPr>
          <w:rFonts w:ascii="仿宋_GB2312" w:hAnsi="仿宋_GB2312" w:eastAsia="仿宋_GB2312" w:cs="仿宋_GB2312"/>
          <w:b w:val="0"/>
          <w:sz w:val="32"/>
        </w:rPr>
        <w:t>2、研究分析县及国内外经济形势和发展情况，进行宏观经济预测、预警;研究县国民经济和社会发展的重大问题，提出相关政策措施建议</w:t>
      </w:r>
    </w:p>
    <w:p>
      <w:pPr>
        <w:ind w:firstLine="480"/>
        <w:jc w:val="both"/>
      </w:pPr>
      <w:r>
        <w:rPr>
          <w:rFonts w:ascii="仿宋_GB2312" w:hAnsi="仿宋_GB2312" w:eastAsia="仿宋_GB2312" w:cs="仿宋_GB2312"/>
          <w:b w:val="0"/>
          <w:sz w:val="32"/>
        </w:rPr>
        <w:t>3、汇总和分析县财政、金融、产业、价格政策等方面情况的执行效果，提出政策建议。负责县价格宏观管理和综合平衡，研究提出价格政策，调控县价格总水平，组织实施国家和自治区的价格调整方案；制定和调整县域商品价格和服务收费，监督管理县行政事业单位的收费行为，组织实施价格监督检查和反垄断调查，依法查处价格违法行为；负责县价格监测和价格信息发布，为全社会提供价格事务服务</w:t>
      </w:r>
    </w:p>
    <w:p>
      <w:pPr>
        <w:ind w:firstLine="480"/>
        <w:jc w:val="both"/>
      </w:pPr>
      <w:r>
        <w:rPr>
          <w:rFonts w:ascii="仿宋_GB2312" w:hAnsi="仿宋_GB2312" w:eastAsia="仿宋_GB2312" w:cs="仿宋_GB2312"/>
          <w:b w:val="0"/>
          <w:sz w:val="32"/>
        </w:rPr>
        <w:t>4、协调和落实全县经济体制改革和对外开放的重大问题。组织拟订综合性经济体制改革方案，协调有关专项经济体制改革；推进县城镇化建设</w:t>
      </w:r>
    </w:p>
    <w:p>
      <w:pPr>
        <w:ind w:firstLine="480"/>
        <w:jc w:val="both"/>
      </w:pPr>
      <w:r>
        <w:rPr>
          <w:rFonts w:ascii="仿宋_GB2312" w:hAnsi="仿宋_GB2312" w:eastAsia="仿宋_GB2312" w:cs="仿宋_GB2312"/>
          <w:b w:val="0"/>
          <w:sz w:val="32"/>
        </w:rPr>
        <w:t>5、研究提出全县固定资产投资总规模，规划重大建设项目的布局，按照管理权限，负责审核上报、审批、核准、备案，协同主管部门对重点建设项目实施前期论证、立项、设计审查和建设期间的协调以及竣工验收后评价等全过程管理，合理确定全县固定资产投资总规模及资金来源、资金投向</w:t>
      </w:r>
    </w:p>
    <w:p>
      <w:pPr>
        <w:ind w:firstLine="480"/>
        <w:jc w:val="both"/>
      </w:pPr>
      <w:r>
        <w:rPr>
          <w:rFonts w:ascii="仿宋_GB2312" w:hAnsi="仿宋_GB2312" w:eastAsia="仿宋_GB2312" w:cs="仿宋_GB2312"/>
          <w:b w:val="0"/>
          <w:sz w:val="32"/>
        </w:rPr>
        <w:t>6、按照《招投标法》对政府出资建设项目的工程招投标进行监督检查。负责政府出资重大建设项目的稽查工作</w:t>
      </w:r>
    </w:p>
    <w:p>
      <w:pPr>
        <w:ind w:firstLine="480"/>
        <w:jc w:val="both"/>
      </w:pPr>
      <w:r>
        <w:rPr>
          <w:rFonts w:ascii="仿宋_GB2312" w:hAnsi="仿宋_GB2312" w:eastAsia="仿宋_GB2312" w:cs="仿宋_GB2312"/>
          <w:b w:val="0"/>
          <w:sz w:val="32"/>
        </w:rPr>
        <w:t>7、协调和负责县重大基础设施建设项目的建设管理</w:t>
      </w:r>
    </w:p>
    <w:p>
      <w:pPr>
        <w:ind w:firstLine="480"/>
        <w:jc w:val="both"/>
      </w:pPr>
      <w:r>
        <w:rPr>
          <w:rFonts w:ascii="仿宋_GB2312" w:hAnsi="仿宋_GB2312" w:eastAsia="仿宋_GB2312" w:cs="仿宋_GB2312"/>
          <w:b w:val="0"/>
          <w:sz w:val="32"/>
        </w:rPr>
        <w:t>8、研究分析国内外市场状况，负责县域重要商品的总量平衡和调控；编制粮食、棉花等重要物资和商品的储备计划；提出县域现代物流发展的战略和规划；综合平衡县域各类重要市场的发展规划和总体布局，引导和调控市场</w:t>
      </w:r>
    </w:p>
    <w:p>
      <w:pPr>
        <w:ind w:firstLine="480"/>
        <w:jc w:val="both"/>
      </w:pPr>
      <w:r>
        <w:rPr>
          <w:rFonts w:ascii="仿宋_GB2312" w:hAnsi="仿宋_GB2312" w:eastAsia="仿宋_GB2312" w:cs="仿宋_GB2312"/>
          <w:b w:val="0"/>
          <w:sz w:val="32"/>
        </w:rPr>
        <w:t>9、负责县域社会发展与国民经济发展的政策衔接，组织拟订社会发展总体规划和年度计划，参与研究提出县域人口和计划生育、科学技术、教育、文化、体育、卫生、民政等发展政策，协调县域社会事业发展的重大问题。提出促进就业、调整收入分配，完善社会保障与经济协调发展的政策，协调就业、收入分配和社会保障的重大问题</w:t>
      </w:r>
    </w:p>
    <w:p>
      <w:pPr>
        <w:ind w:firstLine="480"/>
        <w:jc w:val="both"/>
      </w:pPr>
      <w:r>
        <w:rPr>
          <w:rFonts w:ascii="仿宋_GB2312" w:hAnsi="仿宋_GB2312" w:eastAsia="仿宋_GB2312" w:cs="仿宋_GB2312"/>
          <w:b w:val="0"/>
          <w:sz w:val="32"/>
        </w:rPr>
        <w:t>10、推进可持续发展战略，会同有关部门提出县域生态建设，资源节约综合利用规划和政策，协调生态建设、环境保护和资源节约的重大问题，促进经济与资源、环境协调发展</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新疆喀什地区麦盖提县发展和改革委员会2019年度，实有人数37人，其中：在职人员20人，离休人员1人，退休人员16人。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从部门决算单位构成看，新疆喀什地区麦盖提县发展和改革委员会部门决算包括：新疆喀什地区麦盖提县发展和改革委员会决算。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5,888.52万元，与上年相比，减少1,821.35万元，下降23.62%，主要原因是：由我单位实施的扶贫项目资金较去年大幅减少。本年支出5,888.52万元，与上年相比，减少1,821.35万元，下降23.62%，主要原因是：由我单位实施的扶贫项目资金较去年大幅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2019年度本年收入5,888.52万元，其中：财政拨款收入5,888.52万元，占100%；上级补助收入0万元，占0%；事业收入0万元，占0%；经营收入0万元，占0%；附属单位上缴收入0万元，占0%；其他收入0万元，占0%。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2019年度本年支出5,888.52万元，其中：基本支出264.53万元，占4.49%；项目支出5,624万元，占95.51%；上缴上级支出0万元，占0%；经营支出0万元，占0%；对附属单位补助支出0万元，占0%。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5,888.52万元，与上年相比，减少1,821.35万元，下降23.62%，主要原因是：由我单位实施的扶贫项目资金较去年大幅减少。财政拨款支出5,888.52万元，与上年相比，减少1,821.35万元，下降23.62%，主要原因是：由我单位实施的扶贫项目资金较去年大幅减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133.81万元，决算数5,888.52万元，预决算差异率4300.66%，主要原因是：年初无项目预算，年中下达的各类专项资金通过预算追加下达单位，因此决算数大于年初预算数。财政拨款支出年初预算数133.81万元，决算数5,888.52万元，预决算差异率4300.66%，主要原因是：年初无项目预算，年中下达的各类专项资金通过预算追加下达单位，因此决算数大于年初预算数。</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2019年度一般公共预算财政拨款支出5,888.52万元。按功能分类科目项级科目公开，其中：</w:t>
      </w:r>
    </w:p>
    <w:p>
      <w:pPr>
        <w:ind w:firstLine="480"/>
        <w:jc w:val="both"/>
      </w:pPr>
      <w:r>
        <w:rPr>
          <w:rFonts w:ascii="仿宋_GB2312" w:hAnsi="仿宋_GB2312" w:eastAsia="仿宋_GB2312" w:cs="仿宋_GB2312"/>
          <w:b w:val="0"/>
          <w:sz w:val="32"/>
        </w:rPr>
        <w:t xml:space="preserve">   2010301行政运行支出33万元；</w:t>
      </w:r>
    </w:p>
    <w:p>
      <w:pPr>
        <w:ind w:firstLine="480"/>
        <w:jc w:val="both"/>
      </w:pPr>
      <w:r>
        <w:rPr>
          <w:rFonts w:ascii="仿宋_GB2312" w:hAnsi="仿宋_GB2312" w:eastAsia="仿宋_GB2312" w:cs="仿宋_GB2312"/>
          <w:b w:val="0"/>
          <w:sz w:val="32"/>
        </w:rPr>
        <w:t xml:space="preserve">   2010401行政运行支出189.74万元；</w:t>
      </w:r>
    </w:p>
    <w:p>
      <w:pPr>
        <w:ind w:firstLine="480"/>
        <w:jc w:val="both"/>
      </w:pPr>
      <w:r>
        <w:rPr>
          <w:rFonts w:ascii="仿宋_GB2312" w:hAnsi="仿宋_GB2312" w:eastAsia="仿宋_GB2312" w:cs="仿宋_GB2312"/>
          <w:b w:val="0"/>
          <w:sz w:val="32"/>
        </w:rPr>
        <w:t xml:space="preserve">   2010408物价管理支出1.58万元；</w:t>
      </w:r>
    </w:p>
    <w:p>
      <w:pPr>
        <w:ind w:firstLine="480"/>
        <w:jc w:val="both"/>
      </w:pPr>
      <w:r>
        <w:rPr>
          <w:rFonts w:ascii="仿宋_GB2312" w:hAnsi="仿宋_GB2312" w:eastAsia="仿宋_GB2312" w:cs="仿宋_GB2312"/>
          <w:b w:val="0"/>
          <w:sz w:val="32"/>
        </w:rPr>
        <w:t xml:space="preserve">   2010499其他发展与改革事务支出2.50万元；</w:t>
      </w:r>
    </w:p>
    <w:p>
      <w:pPr>
        <w:ind w:firstLine="480"/>
        <w:jc w:val="both"/>
      </w:pPr>
      <w:r>
        <w:rPr>
          <w:rFonts w:ascii="仿宋_GB2312" w:hAnsi="仿宋_GB2312" w:eastAsia="仿宋_GB2312" w:cs="仿宋_GB2312"/>
          <w:b w:val="0"/>
          <w:sz w:val="32"/>
        </w:rPr>
        <w:t xml:space="preserve">   2080505机关事业单位基本养老保险缴费支出22.95万元；</w:t>
      </w:r>
    </w:p>
    <w:p>
      <w:pPr>
        <w:ind w:firstLine="480"/>
        <w:jc w:val="both"/>
      </w:pPr>
      <w:r>
        <w:rPr>
          <w:rFonts w:ascii="仿宋_GB2312" w:hAnsi="仿宋_GB2312" w:eastAsia="仿宋_GB2312" w:cs="仿宋_GB2312"/>
          <w:b w:val="0"/>
          <w:sz w:val="32"/>
        </w:rPr>
        <w:t xml:space="preserve">   2130505生产发展支出208万元；</w:t>
      </w:r>
    </w:p>
    <w:p>
      <w:pPr>
        <w:ind w:firstLine="480"/>
        <w:jc w:val="both"/>
      </w:pPr>
      <w:r>
        <w:rPr>
          <w:rFonts w:ascii="仿宋_GB2312" w:hAnsi="仿宋_GB2312" w:eastAsia="仿宋_GB2312" w:cs="仿宋_GB2312"/>
          <w:b w:val="0"/>
          <w:sz w:val="32"/>
        </w:rPr>
        <w:t xml:space="preserve">   2210199其他保障性安居工程支出4,853.41万元；</w:t>
      </w:r>
    </w:p>
    <w:p>
      <w:pPr>
        <w:ind w:firstLine="480"/>
        <w:jc w:val="both"/>
      </w:pPr>
      <w:r>
        <w:rPr>
          <w:rFonts w:ascii="仿宋_GB2312" w:hAnsi="仿宋_GB2312" w:eastAsia="仿宋_GB2312" w:cs="仿宋_GB2312"/>
          <w:b w:val="0"/>
          <w:sz w:val="32"/>
        </w:rPr>
        <w:t xml:space="preserve">   2210201住房公积金支出17.26万元；</w:t>
      </w:r>
    </w:p>
    <w:p>
      <w:pPr>
        <w:ind w:firstLine="480"/>
        <w:jc w:val="both"/>
      </w:pPr>
      <w:r>
        <w:rPr>
          <w:rFonts w:ascii="仿宋_GB2312" w:hAnsi="仿宋_GB2312" w:eastAsia="仿宋_GB2312" w:cs="仿宋_GB2312"/>
          <w:b w:val="0"/>
          <w:sz w:val="32"/>
        </w:rPr>
        <w:t xml:space="preserve">   2240701中央自然灾害生活补助支出46.09万元；</w:t>
      </w:r>
    </w:p>
    <w:p>
      <w:pPr>
        <w:ind w:firstLine="480"/>
        <w:jc w:val="both"/>
      </w:pPr>
      <w:r>
        <w:rPr>
          <w:rFonts w:ascii="仿宋_GB2312" w:hAnsi="仿宋_GB2312" w:eastAsia="仿宋_GB2312" w:cs="仿宋_GB2312"/>
          <w:b w:val="0"/>
          <w:sz w:val="32"/>
        </w:rPr>
        <w:t xml:space="preserve">   2299901其他支出514万元。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2019年度一般公共预算财政拨款基本支出264.53万元，其中：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人员经费252.23万元，包括：基本工资、津贴补贴、奖金、机关事业单位基本养老保险缴费、职工基本医疗保险缴费、公务员医疗补助缴费、其他社会保障缴费、住房公积金、离休费、退休费、奖励金。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公用经费12.30万元，包括：办公费</w:t>
      </w:r>
      <w:bookmarkStart w:id="54" w:name="_GoBack"/>
      <w:bookmarkEnd w:id="54"/>
      <w:r>
        <w:rPr>
          <w:rFonts w:ascii="仿宋_GB2312" w:hAnsi="仿宋_GB2312" w:eastAsia="仿宋_GB2312" w:cs="仿宋_GB2312"/>
          <w:sz w:val="32"/>
        </w:rPr>
        <w:t>、印刷费、邮电费、差旅费、维修（护）费、培训费、劳务费、公务用车运行维护费</w:t>
      </w:r>
      <w:r>
        <w:rPr>
          <w:rFonts w:hint="eastAsia" w:ascii="仿宋_GB2312" w:hAnsi="仿宋_GB2312" w:eastAsia="仿宋_GB2312" w:cs="仿宋_GB2312"/>
          <w:sz w:val="32"/>
          <w:lang w:eastAsia="zh-CN"/>
        </w:rPr>
        <w:t>、办公设备购置</w:t>
      </w:r>
      <w:r>
        <w:rPr>
          <w:rFonts w:ascii="仿宋_GB2312" w:hAnsi="仿宋_GB2312" w:eastAsia="仿宋_GB2312" w:cs="仿宋_GB2312"/>
          <w:sz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3万元，比上年增加3万元，增长100%，主要原因是车辆老旧损耗较大，维护成本较高。其中，因公出国（境）费支出0万元，占0%，比上年增加0万元，增长0%，主要原因是与上年相比无变动，与上年一致；公务用车购置及运行维护费支出3万元，占100%，比上年增加3万元，增长100%，主要原因是车辆老旧损耗较大，维护成本较高；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因公出国（境）费支出0万元，开支内容包括：预算未安排，无此项开支。单位全年安排的因公出国（境）团组0个，因公出国（境）0人次。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公务用车购置及运行维护费3万元，其中，公务用车购置费0万元，公务用车运行维护费3万元。公务用车运行维护费开支内容包括车辆燃油、维护费、过路费。公务用车购置数0辆，公务用车保有量3辆。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3.12万元，决算数3万元，预决算差异率-3.85%，主要原因是：厉行节约，压缩“三公”经费，部分指标未使用，因此决算数小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3万元，预决算差异率-3.85%，主要原因是：厉行节约，压缩“三公”经费，部分指标未使用，因此决算数小于年初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2019年度新疆喀什地区麦盖提县发展和改革委员会机关运行经费支出12.30万元，比上年增加11.94万元，增长3316.67%，主要原因是机构改革人员转隶，以及新招录人员，19年在职人员新增7人，相关公用经费开支增加。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3辆，价值52.98万元，其中：副部（省）级及以上领导用车0辆、主要领导干部用车0辆、机要通信用车0辆、应急保障用车0辆、执法执勤用车1辆、特种专业技术用车0辆、离退休干部用车0辆、其他用车2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2个，共涉及资金4916.9万元。预算绩效管理取得的成效：1、易地扶贫搬迁项目：麦盖提县易地扶贫搬迁计划两年（2016年～2017年），有麦盖提县国有资产经营有限责任公司来实施完成，2017年搬迁规模666户贫困户，2066人，新建安置房622套，购置商品房44套，总建筑面积62990m2，其中住房总面积42815m2，其余为配套脱贫产业面积，2017年总投资12339.7万元；2019年计划付2017年易地扶贫搬迁工程尾款4850万元，已支付；改善搬迁群众的生活环境，更好地提供基本公共服务，优化人口与村镇布局，调整改善产业结构，加快脱贫致富步伐，提高扶贫投入效益，有利于迁出区生态环境的恢复与治理，促进可持续发展。2、电力入户项目：推进人民环境整治工作，持续改善建档立卡贫困户人居环境，生产生活条件，保障贫困户用电安全，不断电，让贫困户有良好的生活环境；改善麦盖提县4个乡镇1338户贫困户房屋内老旧弱化电线，更换开关，贫困户每户补贴500元。发现的问题及原因：通过预算绩效管理，发现了工作中存在的不足，工作前期未能确定收益群众名单，导致项目前期实施困难。下一步改进措施：今后对各项指标和指标值的设定要进一步优化、完善。今后对项目的实施计划编制要综合考虑多方面原因。年初做好资金计划，按照项目进度及时拨付资金，使资金使用效益最大化，减少不必要的浪费，节约成本。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182A2B"/>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11</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2021-06-07T02:42:09Z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