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0" w:firstLineChars="0"/>
        <w:jc w:val="center"/>
        <w:textAlignment w:val="auto"/>
        <w:outlineLvl w:val="9"/>
        <w:rPr>
          <w:rFonts w:hint="default" w:ascii="Times New Roman" w:hAnsi="Times New Roman" w:cs="Times New Roman"/>
          <w:sz w:val="32"/>
          <w:szCs w:val="32"/>
        </w:rPr>
      </w:pP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新疆专项转移支付2019年度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  <w:lang w:eastAsia="zh-CN"/>
        </w:rPr>
        <w:t>重点防护林工程</w:t>
      </w:r>
      <w:r>
        <w:rPr>
          <w:rFonts w:hint="eastAsia" w:ascii="方正小标宋简体" w:hAnsi="方正小标宋简体" w:eastAsia="方正小标宋简体" w:cs="方正小标宋简体"/>
          <w:b/>
          <w:bCs w:val="0"/>
          <w:sz w:val="44"/>
          <w:szCs w:val="44"/>
        </w:rPr>
        <w:t>绩效自评报告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一、绩效目标分解下达情况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（一）中央下达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>2019年重点防护林工程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转移支付预算和绩效目标情况。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1、完成2019年重点防护林建设人工造林10000亩，退化林修复10000,亩，并做好林木抚育管护工作。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00" w:firstLineChars="200"/>
        <w:textAlignment w:val="auto"/>
        <w:outlineLvl w:val="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2、完成切实加强生态建设与保护，坚持“突出重点、优化布局、提升质量、拓展空间、转换方式”，稳步推进林业生态建设。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（二）自治区资金安排、分解下达预算和绩效目标情况。</w:t>
      </w:r>
      <w:r>
        <w:rPr>
          <w:rFonts w:hint="eastAsia" w:ascii="仿宋_GB2312" w:hAnsi="仿宋_GB2312" w:eastAsia="仿宋_GB2312" w:cs="仿宋_GB2312"/>
          <w:sz w:val="30"/>
          <w:szCs w:val="30"/>
        </w:rPr>
        <w:t xml:space="preserve"> 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根据地区下达《关于下达三北防护林五期工程2019年中央预算内投资计划的通知》（喀发改投资[2019]236号）文件要求，下达项目资金1000万元，到位资金1000万元。</w:t>
      </w:r>
    </w:p>
    <w:p>
      <w:pPr>
        <w:keepNext w:val="0"/>
        <w:keepLines w:val="0"/>
        <w:pageBreakBefore w:val="0"/>
        <w:widowControl w:val="0"/>
        <w:tabs>
          <w:tab w:val="left" w:pos="7080"/>
        </w:tabs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二、绩效目标完成情况分析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（一）资金投入情况分析。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1.项目资金到位情况分析。</w:t>
      </w:r>
    </w:p>
    <w:p>
      <w:pPr>
        <w:tabs>
          <w:tab w:val="left" w:pos="7080"/>
        </w:tabs>
        <w:spacing w:line="600" w:lineRule="exact"/>
        <w:ind w:firstLine="600" w:firstLineChars="200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2"/>
          <w:sz w:val="30"/>
          <w:szCs w:val="30"/>
          <w:lang w:val="en-US" w:eastAsia="zh-CN" w:bidi="ar-SA"/>
        </w:rPr>
        <w:t>根据地区下达《关于下达三北防护林五期工程2019年中央预算内投资计划的通知》（喀发改投资[2019]236号）文件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，本项目资金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万元，其中财政资金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万元，资金到位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万元；资金到位率100%。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2.项目资金执行情况分析。</w:t>
      </w:r>
    </w:p>
    <w:p>
      <w:pPr>
        <w:spacing w:line="600" w:lineRule="exact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项目实施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主要为人工造林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10000亩，退化林修复10000亩，主要用于苗木采购、定植、土地平整及抚育管护。其中支付：土地平整122万元；苗木采购134.92万元；苗木定植148.08万元；肥料43.5万元；其他51.5万元。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项目计划支出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金额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1000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万元，实际支付资金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500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万元，预算执行率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50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3.项目资金管理情况分析。</w:t>
      </w:r>
    </w:p>
    <w:p>
      <w:pPr>
        <w:adjustRightInd w:val="0"/>
        <w:snapToGrid w:val="0"/>
        <w:spacing w:line="360" w:lineRule="auto"/>
        <w:ind w:firstLine="600" w:firstLineChars="200"/>
        <w:outlineLvl w:val="0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项目申请预算资金1000万元，实施方案已申报，批复已下达。本项目资金使用严格按照新疆林业改革发展资金管理实施细则（新财建（2019）90号）规定，涉及乡镇人民政府单位根据项目执行进度拨付工程款，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资金支付由分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管县委领导、主管财务县委领导、县财政局及扶贫办等各级部门审批审核；资金拨付由财政直接支付业。不存在截留、挤占、挪用、虚列支出等情况。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（二）总体绩效目标完成情况分析。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 w:val="0"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本项目共设置一级指标3个，二级指标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个，三级指标1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个，其中已完成三级指标1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0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个，指标完成率为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83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%。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（三）绩效指标完成情况分析。（根据年初绩效指标逐项分析）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1.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产出指标完成情况分析。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（1）数量指标。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根据项目绩效目标设定内容，本项目申报设定数量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2项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，共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完成人工造林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1万亩。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（2）质量指标。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项目造林成活率符合要求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（3）时效指标。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本项目计划实施进度为201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9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月-2019年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12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月，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完工及时率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（4）成本指标。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根据项目补助规定，每亩地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val="en-US" w:eastAsia="zh-CN"/>
        </w:rPr>
        <w:t>500元补助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2.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效益指标完成情况分析。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（1）经济效益。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1、改善生态环境，促进区域经济发展</w:t>
      </w:r>
    </w:p>
    <w:p>
      <w:pPr>
        <w:ind w:firstLine="600" w:firstLineChars="200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该项目的建成实施，在一定程度上改变麦盖提县及周边区域生态环境质量，改善景观面貌，更易于吸引国内外资金、技术、人才，改善投资环境，使得区域经济得到更好的发展。</w:t>
      </w:r>
    </w:p>
    <w:p>
      <w:pPr>
        <w:ind w:firstLine="600" w:firstLineChars="200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2、防风固沙、水土保持、庇护农田效益</w:t>
      </w:r>
    </w:p>
    <w:p>
      <w:pPr>
        <w:ind w:firstLine="600" w:firstLineChars="200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根据东北林业大学国家重点科技攻关项目《生态林业工程和森林生态效益及量化评价》，森林抑制风沙量平均为14.2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/hm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vertAlign w:val="superscript"/>
          <w:lang w:val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，固沙量平均0.3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/亩，保肥量为2.5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/hm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vertAlign w:val="superscript"/>
          <w:lang w:val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·年；森林抑制风沙效益200元/hm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vertAlign w:val="superscript"/>
          <w:lang w:val="zh-CN"/>
        </w:rPr>
        <w:t>2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·年。据此计算，麦盖提县新增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10000亩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生态防护林，每年抑制风沙量约为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4730t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，固沙量约为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1500t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，保肥量约为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800t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，每年产生抑制风沙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13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万元的间接经济效益。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（2）社会效益。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项目实施后其社会效益主要体现在通过生态环境的改善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提高麦盖提县居民生产、生活质量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促进区域经济社会持续发展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维护社会</w:t>
      </w:r>
      <w:r>
        <w:rPr>
          <w:rFonts w:hint="eastAsia" w:ascii="仿宋_GB2312" w:hAnsi="仿宋_GB2312" w:cs="仿宋_GB2312"/>
          <w:kern w:val="0"/>
          <w:sz w:val="30"/>
          <w:szCs w:val="30"/>
          <w:lang w:val="en-US" w:eastAsia="zh-CN"/>
        </w:rPr>
        <w:t>安定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和民族团结等方面。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（3）生态效益。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1、增加森林资源面积，提高防风固沙能力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项目的建成实施，可增加该县林地面积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10000亩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有效的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提高森林覆盖率，降低土地沙化、荒漠化及风沙对于该县农田牧场的危害程度，植被群落结构发生变化，增加物种资源，改善周边区域生态环境。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2、改良土壤、水土保持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设可以起到局部防止水土流失、防止土地盐渍化等多种功能，既能提高土壤肥力，保持水土，增加土壤的水分，又可改善环境。其枯落物经分解成为良好的肥料，植物的根瘤有固氮改土效果，地下根系的发展变化也可改善土壤的通透性，增加有机质含量，对该区域土壤结构、土壤养分与水分状况，均有显著的改善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3、净化空气、调节气候、防治污染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20" w:lineRule="exact"/>
        <w:ind w:firstLine="561" w:firstLineChars="0"/>
        <w:textAlignment w:val="auto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  <w:lang w:val="zh-CN"/>
        </w:rPr>
        <w:t>项目的建成实施，可有效缓解小区域内大气对环境的污染，还可抑制沙尘、浮尘天气。地面植被覆盖率的增加，可降低农区水蒸腾作用，增加空气湿度，降低局部温度，对调节干旱荒漠气候起到良好作用。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（4）可持续影响。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本项目建设符合工程区实际情况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也符合中央对工程建设的指导思想和要求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生态效益、社会效益、经济效益显著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  <w:lang w:eastAsia="zh-CN"/>
        </w:rPr>
        <w:t>，</w:t>
      </w:r>
      <w:r>
        <w:rPr>
          <w:rFonts w:hint="eastAsia" w:ascii="仿宋_GB2312" w:hAnsi="仿宋_GB2312" w:eastAsia="仿宋_GB2312" w:cs="仿宋_GB2312"/>
          <w:kern w:val="0"/>
          <w:sz w:val="30"/>
          <w:szCs w:val="30"/>
        </w:rPr>
        <w:t>项目建设意义重大。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  <w:lang w:val="en-US" w:eastAsia="zh-CN"/>
        </w:rPr>
        <w:t xml:space="preserve"> </w:t>
      </w:r>
      <w:r>
        <w:rPr>
          <w:rFonts w:hint="eastAsia" w:ascii="仿宋_GB2312" w:hAnsi="仿宋_GB2312" w:eastAsia="仿宋_GB2312" w:cs="仿宋_GB2312"/>
          <w:b/>
          <w:bCs/>
          <w:sz w:val="30"/>
          <w:szCs w:val="30"/>
        </w:rPr>
        <w:t>满意度指标完成情况分析。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按计划完成项目实施，已做满意度调查问卷，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周边群众对</w:t>
      </w:r>
      <w:r>
        <w:rPr>
          <w:rFonts w:hint="eastAsia" w:ascii="仿宋_GB2312" w:hAnsi="仿宋_GB2312" w:cs="仿宋_GB2312"/>
          <w:color w:val="0C0C0C"/>
          <w:sz w:val="30"/>
          <w:szCs w:val="30"/>
          <w:lang w:eastAsia="zh-CN"/>
        </w:rPr>
        <w:t>生态造林</w:t>
      </w:r>
      <w:r>
        <w:rPr>
          <w:rFonts w:hint="eastAsia" w:ascii="仿宋_GB2312" w:hAnsi="仿宋_GB2312" w:eastAsia="仿宋_GB2312" w:cs="仿宋_GB2312"/>
          <w:color w:val="0C0C0C"/>
          <w:sz w:val="30"/>
          <w:szCs w:val="30"/>
          <w:lang w:eastAsia="zh-CN"/>
        </w:rPr>
        <w:t>很满意。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三、偏离绩效目标的原因和下一步改进措施</w:t>
      </w:r>
    </w:p>
    <w:p>
      <w:pPr>
        <w:spacing w:line="600" w:lineRule="exact"/>
        <w:ind w:firstLine="640" w:firstLineChars="200"/>
        <w:rPr>
          <w:rFonts w:hint="default" w:ascii="仿宋_GB2312" w:hAnsi="仿宋_GB2312" w:eastAsia="仿宋_GB2312" w:cs="仿宋_GB2312"/>
          <w:color w:val="0C0C0C"/>
          <w:sz w:val="30"/>
          <w:szCs w:val="30"/>
          <w:lang w:val="en-US" w:eastAsia="zh-CN"/>
        </w:rPr>
        <w:pPrChange w:id="0" w:author="打字员" w:date="2019-03-01T18:08:00Z">
          <w:pPr>
            <w:ind w:firstLine="600" w:firstLineChars="200"/>
          </w:pPr>
        </w:pPrChange>
      </w:pPr>
      <w:r>
        <w:rPr>
          <w:rFonts w:hint="eastAsia" w:ascii="仿宋_GB2312" w:hAnsi="仿宋_GB2312" w:cs="仿宋_GB2312"/>
          <w:color w:val="0C0C0C"/>
          <w:sz w:val="30"/>
          <w:szCs w:val="30"/>
          <w:lang w:val="en-US" w:eastAsia="zh-CN"/>
        </w:rPr>
        <w:t>退化林修复10000亩目前正在编制实施方案，由于地块较散，调查人员缺乏，前期调查工作困难。下一步将积极做好项目实施前期准备，计划2020年实施完毕。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四、绩效自评结果拟应用和公开情况</w:t>
      </w:r>
    </w:p>
    <w:p>
      <w:pPr>
        <w:spacing w:line="360" w:lineRule="auto"/>
        <w:ind w:firstLine="600" w:firstLineChars="200"/>
        <w:rPr>
          <w:rFonts w:hint="eastAsia" w:ascii="仿宋_GB2312" w:hAnsi="仿宋_GB2312" w:eastAsia="仿宋_GB2312" w:cs="仿宋_GB2312"/>
          <w:color w:val="0C0C0C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次评价通过文件研读、实地调研、数据分析等方式，全面了解了项目资金的使用效率和效果，项目管理过程规范，按照实施方案完成了预期绩效目标。通过开展预算绩效管理和绩效自评工作，建立科学合理的绩效机制，客观准确的评价我单位项目绩效，不断完善绩效评价体系，加强监督检查和考核工作。同时，通过开展自我评价来总结经验,为今后同类项目的执行与实施提供了参考依据。</w:t>
      </w:r>
    </w:p>
    <w:p>
      <w:pPr>
        <w:adjustRightInd w:val="0"/>
        <w:snapToGrid w:val="0"/>
        <w:spacing w:line="520" w:lineRule="exact"/>
        <w:ind w:firstLine="600" w:firstLineChars="200"/>
        <w:rPr>
          <w:rFonts w:hint="eastAsia" w:ascii="仿宋_GB2312" w:hAnsi="仿宋_GB2312" w:eastAsia="仿宋_GB2312" w:cs="仿宋_GB2312"/>
          <w:bCs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C0C0C"/>
          <w:sz w:val="30"/>
          <w:szCs w:val="30"/>
        </w:rPr>
        <w:t>本项目</w:t>
      </w:r>
      <w:r>
        <w:rPr>
          <w:rFonts w:hint="eastAsia" w:ascii="仿宋_GB2312" w:hAnsi="仿宋_GB2312" w:eastAsia="仿宋_GB2312" w:cs="仿宋_GB2312"/>
          <w:spacing w:val="-4"/>
          <w:sz w:val="30"/>
          <w:szCs w:val="30"/>
        </w:rPr>
        <w:t>绩效自评结果将根据上级要求时间予以公开，接受社会公众监督。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2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bCs w:val="0"/>
          <w:sz w:val="30"/>
          <w:szCs w:val="30"/>
        </w:rPr>
        <w:t>五、其他需要说明的问题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  <w:lang w:eastAsia="zh-CN"/>
        </w:rPr>
        <w:t>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Times New Roman" w:hAnsi="Times New Roman" w:cs="Times New Roman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0"/>
          <w:szCs w:val="30"/>
        </w:rPr>
        <w:t>附：转移支付区域（项目）绩效目标自评表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40" w:firstLineChars="200"/>
        <w:jc w:val="both"/>
        <w:textAlignment w:val="auto"/>
        <w:outlineLvl w:val="9"/>
        <w:rPr>
          <w:rFonts w:hint="default" w:ascii="Times New Roman" w:hAnsi="Times New Roman" w:cs="Times New Roman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0" w:rightChars="0" w:firstLine="600" w:firstLineChars="200"/>
        <w:jc w:val="both"/>
        <w:textAlignment w:val="auto"/>
        <w:outlineLvl w:val="9"/>
        <w:rPr>
          <w:rFonts w:hint="default" w:ascii="Times New Roman" w:hAnsi="Times New Roman" w:cs="Times New Roman"/>
        </w:rPr>
      </w:pP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方正小标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5782967"/>
      <w:docPartObj>
        <w:docPartGallery w:val="autotext"/>
      </w:docPartObj>
    </w:sdtPr>
    <w:sdtContent>
      <w:p>
        <w:pPr>
          <w:pStyle w:val="4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  <w:p>
    <w:pPr>
      <w:pStyle w:val="4"/>
    </w:pPr>
  </w:p>
</w:ft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打字员">
    <w15:presenceInfo w15:providerId="None" w15:userId="打字员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F5F12"/>
    <w:rsid w:val="00084A4E"/>
    <w:rsid w:val="00170D27"/>
    <w:rsid w:val="00257A56"/>
    <w:rsid w:val="002C7910"/>
    <w:rsid w:val="004D471A"/>
    <w:rsid w:val="00550C3B"/>
    <w:rsid w:val="0063770C"/>
    <w:rsid w:val="008D693E"/>
    <w:rsid w:val="00955C36"/>
    <w:rsid w:val="009B1FFE"/>
    <w:rsid w:val="00A82E5B"/>
    <w:rsid w:val="00B03B17"/>
    <w:rsid w:val="00CC701C"/>
    <w:rsid w:val="00D81678"/>
    <w:rsid w:val="00EF5F12"/>
    <w:rsid w:val="00FC4147"/>
    <w:rsid w:val="05ED15CC"/>
    <w:rsid w:val="1A3A74C6"/>
    <w:rsid w:val="1ACE7DEB"/>
    <w:rsid w:val="39423BE4"/>
    <w:rsid w:val="458A2A28"/>
    <w:rsid w:val="47A17A76"/>
    <w:rsid w:val="57A8616F"/>
    <w:rsid w:val="5C2D39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nhideWhenUsed="0" w:uiPriority="99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2"/>
      <w:sz w:val="30"/>
      <w:szCs w:val="24"/>
      <w:lang w:val="en-US" w:eastAsia="zh-CN" w:bidi="ar-SA"/>
    </w:rPr>
  </w:style>
  <w:style w:type="paragraph" w:styleId="2">
    <w:name w:val="heading 3"/>
    <w:basedOn w:val="1"/>
    <w:next w:val="1"/>
    <w:qFormat/>
    <w:uiPriority w:val="99"/>
    <w:pPr>
      <w:keepNext/>
      <w:widowControl/>
      <w:spacing w:before="240" w:after="60"/>
      <w:jc w:val="left"/>
      <w:outlineLvl w:val="2"/>
    </w:pPr>
    <w:rPr>
      <w:rFonts w:ascii="Calibri Light" w:hAnsi="Calibri Light" w:eastAsia="宋体"/>
      <w:b/>
      <w:bCs/>
      <w:kern w:val="0"/>
      <w:sz w:val="26"/>
      <w:szCs w:val="26"/>
    </w:rPr>
  </w:style>
  <w:style w:type="character" w:default="1" w:styleId="6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alloon Text"/>
    <w:basedOn w:val="1"/>
    <w:link w:val="10"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8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8">
    <w:name w:val="页眉 Char"/>
    <w:basedOn w:val="6"/>
    <w:link w:val="5"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4"/>
    <w:qFormat/>
    <w:uiPriority w:val="99"/>
    <w:rPr>
      <w:sz w:val="18"/>
      <w:szCs w:val="18"/>
    </w:rPr>
  </w:style>
  <w:style w:type="character" w:customStyle="1" w:styleId="10">
    <w:name w:val="批注框文本 Char"/>
    <w:basedOn w:val="6"/>
    <w:link w:val="3"/>
    <w:semiHidden/>
    <w:qFormat/>
    <w:uiPriority w:val="99"/>
    <w:rPr>
      <w:rFonts w:ascii="Times New Roman" w:hAnsi="Times New Roman" w:eastAsia="仿宋_GB2312" w:cs="Times New Roman"/>
      <w:sz w:val="18"/>
      <w:szCs w:val="18"/>
    </w:rPr>
  </w:style>
  <w:style w:type="paragraph" w:customStyle="1" w:styleId="11">
    <w:name w:val="_Style 1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microsoft.com/office/2011/relationships/people" Target="people.xml"/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79</Words>
  <Characters>455</Characters>
  <Lines>3</Lines>
  <Paragraphs>1</Paragraphs>
  <TotalTime>14</TotalTime>
  <ScaleCrop>false</ScaleCrop>
  <LinksUpToDate>false</LinksUpToDate>
  <CharactersWithSpaces>533</CharactersWithSpaces>
  <Application>WPS Office_10.1.0.7520_F1E327BC-269C-435d-A152-05C5408002CA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2020-04-02T10:30:00Z</dcterms:created>
  <dc:creator>lenovo</dc:creator>
  <cp:lastModifiedBy>Administrator</cp:lastModifiedBy>
  <cp:lastPrinted>2020-04-03T06:39:00Z</cp:lastPrinted>
  <dcterms:modified xsi:type="dcterms:W3CDTF">2020-11-15T04:33:02Z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2052-10.1.0.7520</vt:lpwstr>
  </property>
</Properties>
</file>