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40" w:lineRule="exact"/>
        <w:ind w:firstLine="640" w:firstLineChars="200"/>
        <w:jc w:val="center"/>
        <w:textAlignment w:val="auto"/>
        <w:rPr>
          <w:rFonts w:ascii="仿宋" w:hAnsi="仿宋" w:eastAsia="仿宋" w:cs="宋体"/>
          <w:kern w:val="0"/>
          <w:sz w:val="32"/>
          <w:szCs w:val="32"/>
        </w:rPr>
      </w:pPr>
    </w:p>
    <w:p>
      <w:pPr>
        <w:keepNext w:val="0"/>
        <w:keepLines w:val="0"/>
        <w:pageBreakBefore w:val="0"/>
        <w:widowControl w:val="0"/>
        <w:kinsoku/>
        <w:wordWrap/>
        <w:overflowPunct/>
        <w:topLinePunct w:val="0"/>
        <w:autoSpaceDE/>
        <w:autoSpaceDN/>
        <w:bidi w:val="0"/>
        <w:spacing w:line="540" w:lineRule="exact"/>
        <w:ind w:firstLine="640" w:firstLineChars="200"/>
        <w:jc w:val="center"/>
        <w:textAlignment w:val="auto"/>
        <w:rPr>
          <w:rFonts w:ascii="仿宋" w:hAnsi="仿宋" w:eastAsia="仿宋" w:cs="宋体"/>
          <w:kern w:val="0"/>
          <w:sz w:val="32"/>
          <w:szCs w:val="32"/>
        </w:rPr>
      </w:pPr>
    </w:p>
    <w:p>
      <w:pPr>
        <w:keepNext w:val="0"/>
        <w:keepLines w:val="0"/>
        <w:pageBreakBefore w:val="0"/>
        <w:widowControl w:val="0"/>
        <w:kinsoku/>
        <w:wordWrap/>
        <w:overflowPunct/>
        <w:topLinePunct w:val="0"/>
        <w:autoSpaceDE/>
        <w:autoSpaceDN/>
        <w:bidi w:val="0"/>
        <w:spacing w:line="54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4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40" w:lineRule="exact"/>
        <w:ind w:firstLine="1044" w:firstLineChars="200"/>
        <w:jc w:val="center"/>
        <w:textAlignment w:val="auto"/>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仿宋" w:hAnsi="仿宋" w:eastAsia="仿宋" w:cs="宋体"/>
          <w:kern w:val="0"/>
          <w:sz w:val="32"/>
          <w:szCs w:val="32"/>
        </w:rPr>
      </w:pPr>
    </w:p>
    <w:p>
      <w:pPr>
        <w:keepNext w:val="0"/>
        <w:keepLines w:val="0"/>
        <w:pageBreakBefore w:val="0"/>
        <w:widowControl w:val="0"/>
        <w:kinsoku/>
        <w:wordWrap/>
        <w:overflowPunct/>
        <w:topLinePunct w:val="0"/>
        <w:autoSpaceDE/>
        <w:autoSpaceDN/>
        <w:bidi w:val="0"/>
        <w:spacing w:line="540" w:lineRule="exact"/>
        <w:ind w:firstLine="1044"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spacing w:line="54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textAlignment w:val="auto"/>
        <w:rPr>
          <w:rFonts w:hint="eastAsia"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项目名称：林果业提质增效项目</w:t>
      </w:r>
    </w:p>
    <w:p>
      <w:pPr>
        <w:keepNext w:val="0"/>
        <w:keepLines w:val="0"/>
        <w:pageBreakBefore w:val="0"/>
        <w:widowControl w:val="0"/>
        <w:kinsoku/>
        <w:wordWrap/>
        <w:overflowPunct/>
        <w:topLinePunct w:val="0"/>
        <w:autoSpaceDE/>
        <w:autoSpaceDN/>
        <w:bidi w:val="0"/>
        <w:spacing w:line="70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实施单位（公章）：麦盖提县林业局</w:t>
      </w:r>
    </w:p>
    <w:p>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主管部门（公章）：麦盖提县自然资源局</w:t>
      </w:r>
    </w:p>
    <w:p>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项目负责人（签章）：鲁国仓</w:t>
      </w:r>
    </w:p>
    <w:p>
      <w:pPr>
        <w:keepNext w:val="0"/>
        <w:keepLines w:val="0"/>
        <w:pageBreakBefore w:val="0"/>
        <w:widowControl w:val="0"/>
        <w:kinsoku/>
        <w:wordWrap/>
        <w:overflowPunct/>
        <w:topLinePunct w:val="0"/>
        <w:autoSpaceDE/>
        <w:autoSpaceDN/>
        <w:bidi w:val="0"/>
        <w:spacing w:line="700" w:lineRule="exact"/>
        <w:ind w:firstLine="640" w:firstLineChars="200"/>
        <w:jc w:val="left"/>
        <w:textAlignment w:val="auto"/>
        <w:rPr>
          <w:rFonts w:hint="eastAsia" w:ascii="仿宋" w:hAnsi="仿宋" w:eastAsia="仿宋" w:cs="仿宋"/>
          <w:kern w:val="0"/>
          <w:sz w:val="32"/>
          <w:szCs w:val="32"/>
          <w:lang w:val="zh-TW" w:eastAsia="zh-CN"/>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w:t>
      </w:r>
      <w:r>
        <w:rPr>
          <w:rFonts w:hint="eastAsia" w:ascii="仿宋" w:hAnsi="仿宋" w:eastAsia="仿宋" w:cs="仿宋"/>
          <w:kern w:val="0"/>
          <w:sz w:val="32"/>
          <w:szCs w:val="32"/>
          <w:lang w:val="zh-TW" w:eastAsia="zh-CN"/>
        </w:rPr>
        <w:t>年</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lang w:val="zh-TW" w:eastAsia="zh-CN"/>
        </w:rPr>
        <w:t>月</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lang w:val="zh-TW" w:eastAsia="zh-CN"/>
        </w:rPr>
        <w:t>日</w:t>
      </w: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int="eastAsia" w:hAnsi="宋体" w:eastAsia="仿宋_GB2312" w:cs="宋体"/>
          <w:kern w:val="0"/>
          <w:sz w:val="30"/>
          <w:szCs w:val="30"/>
        </w:rPr>
      </w:pPr>
    </w:p>
    <w:p>
      <w:pPr>
        <w:keepNext w:val="0"/>
        <w:keepLines w:val="0"/>
        <w:pageBreakBefore w:val="0"/>
        <w:widowControl w:val="0"/>
        <w:kinsoku/>
        <w:wordWrap/>
        <w:overflowPunct/>
        <w:topLinePunct w:val="0"/>
        <w:autoSpaceDE/>
        <w:autoSpaceDN/>
        <w:bidi w:val="0"/>
        <w:spacing w:line="540" w:lineRule="exact"/>
        <w:ind w:firstLine="600" w:firstLineChars="200"/>
        <w:jc w:val="center"/>
        <w:textAlignment w:val="auto"/>
        <w:rPr>
          <w:rFonts w:hint="eastAsia"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w:t>
      </w:r>
      <w:bookmarkStart w:id="0" w:name="_GoBack"/>
      <w:bookmarkEnd w:id="0"/>
      <w:r>
        <w:rPr>
          <w:rStyle w:val="18"/>
          <w:rFonts w:hint="eastAsia" w:ascii="黑体" w:hAnsi="黑体" w:eastAsia="黑体"/>
          <w:b w:val="0"/>
          <w:spacing w:val="-4"/>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rPr>
        <w:t>麦盖提县林业局分为林业局行政和林业站事业，局站合一办公，财务统一核算。其中林业局属于行政单位,执行的是行政单位会计制度；林业站属于事业单位，执行的是事业单位会计制度。单位内设机构有县林业局、县林业公安派出所、县防沙治沙办、县森防站、县林木种苗管理办公室、县绿化委员会办公室、县林业站，共计7个单位，其中列入事业的为县林木种苗管理办公室和县林业站，其它全部列为林业局行政。主要负责全县林业及其生态建设的监督管理；配合林业调查设计单位开展森林资源调查，负责造林检查验收、林业统计和森林资源档案管理，掌握本站辖区的森林资源消长变化情况；核定并落实农村集体和个人的年度采伐指标，依照有关规定检查、监督本乡镇的林木采伐，以及木材的运输、经营加工和销售；协助有关部门调查处理林地、林木纠纷，查处毁林案件，维护森林资源安全，负责组织本乡镇病虫鼠害的防治工作；传播推广林业科学技术，总结推广林业生产先进经验，开展林业技术培训、技术咨询和技术服务；按照国家有关规定，协助上级主管部门管好、用好各项林业资金；承办上级主管部门交办的其他事项，同时承担全县30万亩防风固沙生态林建设</w:t>
      </w:r>
      <w:r>
        <w:rPr>
          <w:rFonts w:hint="eastAsia" w:ascii="仿宋" w:hAnsi="仿宋" w:eastAsia="仿宋" w:cs="仿宋"/>
          <w:kern w:val="0"/>
          <w:sz w:val="32"/>
          <w:szCs w:val="32"/>
          <w:lang w:val="en-US" w:eastAsia="zh-CN"/>
        </w:rPr>
        <w:t>基地的造林及管护任务。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（二）项目简介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1</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lang w:val="en-US" w:eastAsia="zh-CN"/>
        </w:rPr>
        <w:t>改善麦盖提县9个乡镇共104个贫困村，3089户建档立卡贫困户，36809.14亩林果体质的增效。实施果树整形修剪、田间管理等林果业体质增效的工作，户均补助0.05</w:t>
      </w:r>
      <w:r>
        <w:rPr>
          <w:rFonts w:hint="eastAsia" w:ascii="仿宋" w:hAnsi="仿宋" w:eastAsia="仿宋" w:cs="仿宋"/>
          <w:kern w:val="0"/>
          <w:sz w:val="32"/>
          <w:szCs w:val="32"/>
          <w:lang w:val="en-US" w:eastAsia="zh-CN"/>
        </w:rPr>
        <w:t>万</w:t>
      </w:r>
      <w:r>
        <w:rPr>
          <w:rFonts w:hint="default" w:ascii="仿宋" w:hAnsi="仿宋" w:eastAsia="仿宋" w:cs="仿宋"/>
          <w:kern w:val="0"/>
          <w:sz w:val="32"/>
          <w:szCs w:val="32"/>
          <w:lang w:val="en-US" w:eastAsia="zh-CN"/>
        </w:rPr>
        <w:t>元/亩，使果园亩均产量增加10%以上，助力本县脱贫攻坚。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2</w:t>
      </w:r>
      <w:r>
        <w:rPr>
          <w:rFonts w:hint="eastAsia" w:ascii="仿宋" w:hAnsi="仿宋" w:eastAsia="仿宋" w:cs="仿宋"/>
          <w:kern w:val="0"/>
          <w:sz w:val="32"/>
          <w:szCs w:val="32"/>
          <w:lang w:val="en-US" w:eastAsia="zh-CN"/>
        </w:rPr>
        <w:t>.</w:t>
      </w:r>
      <w:r>
        <w:rPr>
          <w:rFonts w:hint="default" w:ascii="仿宋" w:hAnsi="仿宋" w:eastAsia="仿宋" w:cs="仿宋"/>
          <w:kern w:val="0"/>
          <w:sz w:val="32"/>
          <w:szCs w:val="32"/>
          <w:lang w:val="en-US" w:eastAsia="zh-CN"/>
        </w:rPr>
        <w:t>有针对性地引导贫困户规模化、科学化发展林果业，提高贫困户经济效益，助力本县脱贫攻坚。</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三）</w:t>
      </w:r>
      <w:r>
        <w:rPr>
          <w:rStyle w:val="18"/>
          <w:rFonts w:hint="eastAsia" w:ascii="楷体" w:hAnsi="楷体" w:eastAsia="楷体"/>
          <w:spacing w:val="-4"/>
          <w:sz w:val="32"/>
          <w:szCs w:val="32"/>
        </w:rPr>
        <w:t>项目预算绩效目标设定情况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1.项目预期目标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坚持以建设全疆乃至全国最优特色林果业基地为目标，立足当前，着眼长远，从领导重视、宣传培训、巩固基地建设、有害生物防治、田间管护、品牌建设、市场流通等环节入手，多管齐下，坚定不移地抓好特色林果业提质增效工作。大力推进标准化生产，进一步形成完善的麦盖提灰枣质量保障体系，积极引导果农从以往的重“产量”向优“品质”转变。2019年实现巴扎吉米镇,希依提墩乡,央塔克乡，吐曼塔勒乡，尕孜库勒乡，克孜勒阿瓦提乡，库木库萨尔乡，昂格特勒克乡，库尔玛乡共计104个村，3089户建档立卡贫困户，36809.14亩果园优质果率达85%以上，亩均产量较上年增加10%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2.项目基本性质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本项目为产业扶贫（农业综合开发）类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3.项目用途及范围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本方案培训所需总资金为1840.46万元，资金来源为2019年度财政扶贫专项资金。主要用于果园肥料投入、整形修剪、有害生物防治、密植园疏密、嫁接改优、补植补造等方面。</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资金来源为麦盖提县2019年度财政扶贫专项资金，总投资1840.46万元，到位资金1840.46万元，资金到位率100%。</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二</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通过对项目进展、资金使用、制度建设及执行情况、取得的成效；总结经验，发现问题，提出整改意见和建议；进一步完善制度、创新机制、加强管理、强化监督，保证森林生态效益补偿基金使用管理的规范性、安全性和有效性；为指导预算编制、申报绩效目标、确保绩效考评通过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巴扎吉米镇,希依提墩乡,央塔克乡，吐曼塔勒乡，尕孜库勒乡，克孜勒阿瓦提乡，库木库萨尔乡，昂格特勒克乡，库尔玛乡共计104个村，3089户，36809.14亩果园，每亩补助</w:t>
      </w:r>
      <w:r>
        <w:rPr>
          <w:rFonts w:hint="default" w:ascii="仿宋" w:hAnsi="仿宋" w:eastAsia="仿宋" w:cs="仿宋"/>
          <w:kern w:val="0"/>
          <w:sz w:val="32"/>
          <w:szCs w:val="32"/>
          <w:lang w:val="en-US" w:eastAsia="zh-CN"/>
        </w:rPr>
        <w:t>0.05</w:t>
      </w:r>
      <w:r>
        <w:rPr>
          <w:rFonts w:hint="eastAsia" w:ascii="仿宋" w:hAnsi="仿宋" w:eastAsia="仿宋" w:cs="仿宋"/>
          <w:kern w:val="0"/>
          <w:sz w:val="32"/>
          <w:szCs w:val="32"/>
          <w:lang w:val="en-US" w:eastAsia="zh-CN"/>
        </w:rPr>
        <w:t>万元，计划补助1840.46万元，因54亩未种果树，截止2019年12月31日，实际补助亩数36755.14亩，补助支出1837.76万元，剩余2.7</w:t>
      </w:r>
      <w:r>
        <w:rPr>
          <w:rFonts w:hint="default" w:ascii="仿宋" w:hAnsi="仿宋" w:eastAsia="仿宋" w:cs="仿宋"/>
          <w:kern w:val="0"/>
          <w:sz w:val="32"/>
          <w:szCs w:val="32"/>
          <w:lang w:val="en-US" w:eastAsia="zh-CN"/>
        </w:rPr>
        <w:t>0</w:t>
      </w:r>
      <w:r>
        <w:rPr>
          <w:rFonts w:hint="eastAsia" w:ascii="仿宋" w:hAnsi="仿宋" w:eastAsia="仿宋" w:cs="仿宋"/>
          <w:kern w:val="0"/>
          <w:sz w:val="32"/>
          <w:szCs w:val="32"/>
          <w:lang w:val="en-US" w:eastAsia="zh-CN"/>
        </w:rPr>
        <w:t>万元已上缴财政。</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按照每亩补助</w:t>
      </w:r>
      <w:r>
        <w:rPr>
          <w:rFonts w:hint="default" w:ascii="仿宋" w:hAnsi="仿宋" w:eastAsia="仿宋" w:cs="仿宋"/>
          <w:kern w:val="0"/>
          <w:sz w:val="32"/>
          <w:szCs w:val="32"/>
          <w:lang w:val="en-US" w:eastAsia="zh-CN"/>
        </w:rPr>
        <w:t>0.05</w:t>
      </w:r>
      <w:r>
        <w:rPr>
          <w:rFonts w:hint="eastAsia" w:ascii="仿宋" w:hAnsi="仿宋" w:eastAsia="仿宋" w:cs="仿宋"/>
          <w:kern w:val="0"/>
          <w:sz w:val="32"/>
          <w:szCs w:val="32"/>
          <w:lang w:val="en-US" w:eastAsia="zh-CN"/>
        </w:rPr>
        <w:t>万元的标准执行。按照资金使用管理办法，实行专项管理，专项使用。县财政局、审计局等部门对补贴资金的监督检查确保补贴资金运用安全。严格按照有关规定将资金用于项目建设内容，不得以任何理由坚财政不占，不挤、不挪用，项目建设资金。</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林果业提质增效项目下达后，及时成立由主要领导领导任组长的工作领导小组，安排专人负责编制项目实施方案、项目实施监督、档案建设、送审，并会同财政部门完成资金拨付等日常工作.</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一是加强组织领导。加强对项目实施的组织领导，将项目任务分解到涉及的乡镇，由县林业局进行技术跟踪指导、服务。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二是明确职责分工。加强技术指导、服务和督促工作，同时做好检查验收，督促项目涉及的乡镇按照扶贫资金管理办法依规并按照要求使用项目资金。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三是加强技术指导。对项目实施乡镇和贫困户加强技术指导，确保涉及巴扎吉米镇,希依提墩乡,央塔克乡，吐曼塔勒乡，尕孜库勒乡，克孜勒阿瓦提乡，库木库萨尔乡，昂格特勒克乡，库尔玛乡共计104个村，3089户，36809.14亩果园林果业提质增效工作顺利实施，取得实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四是强化考核监督。抓好技术指导、技术服务、调度，督促各项政策、措施、项目、资金落实到位。如发现有虚报瞒报、套取扶贫资金的，实行责任倒查制度，严肃查处。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五是严肃财经纪律，务求工作实效。严格按照实施方案的要求，尽职尽现履行工作职能，对项目推进过程中出现的问题要及时进行对接、沟通，及早拿出工作措施加以应对。在项目实施过程中，按照“四个一律”的要求，不随意调整项目规模，不得随意更改建设内容，严禁产生新的违规隐性债务。</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四、项目绩效目标完成情况分析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本项目共设置一级指标3个，二级指标8个，三级指标17个，其中已完成三级指标16个。</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lang w:val="en-US" w:eastAsia="zh-CN"/>
        </w:rPr>
        <w:t>(一）</w:t>
      </w:r>
      <w:r>
        <w:rPr>
          <w:rStyle w:val="18"/>
          <w:rFonts w:hint="eastAsia" w:ascii="楷体" w:hAnsi="楷体" w:eastAsia="楷体"/>
          <w:spacing w:val="-4"/>
          <w:sz w:val="32"/>
          <w:szCs w:val="32"/>
          <w:lang w:eastAsia="zh-CN"/>
        </w:rPr>
        <w:t>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1.项目完成数量</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根据项目绩效目标设定内容，本项目申报设定数量全部完成，其中：涉及乡镇指标预期值≥9个，实际完成值9个，</w:t>
      </w:r>
      <w:r>
        <w:rPr>
          <w:rFonts w:hint="eastAsia" w:ascii="仿宋" w:hAnsi="仿宋" w:eastAsia="仿宋" w:cs="仿宋"/>
          <w:color w:val="0C0C0C"/>
          <w:sz w:val="32"/>
          <w:szCs w:val="32"/>
          <w:lang w:val="en-US" w:eastAsia="zh-CN"/>
        </w:rPr>
        <w:t>该指标权值分为4分，得分4分；提质增效面积指标预期值</w:t>
      </w:r>
      <w:r>
        <w:rPr>
          <w:rFonts w:hint="eastAsia" w:ascii="仿宋" w:hAnsi="仿宋" w:eastAsia="仿宋" w:cs="仿宋"/>
          <w:kern w:val="0"/>
          <w:sz w:val="32"/>
          <w:szCs w:val="32"/>
          <w:lang w:val="en-US" w:eastAsia="zh-CN"/>
        </w:rPr>
        <w:t>≥</w:t>
      </w:r>
      <w:r>
        <w:rPr>
          <w:rFonts w:hint="eastAsia" w:ascii="仿宋" w:hAnsi="仿宋" w:eastAsia="仿宋" w:cs="仿宋"/>
          <w:color w:val="0C0C0C"/>
          <w:sz w:val="32"/>
          <w:szCs w:val="32"/>
          <w:lang w:val="en-US" w:eastAsia="zh-CN"/>
        </w:rPr>
        <w:t>36809.14亩，实际完成值36809.14亩，该指标权值分为4分，得分4分；补贴受益总户数指标预期值</w:t>
      </w:r>
      <w:r>
        <w:rPr>
          <w:rFonts w:hint="eastAsia" w:ascii="仿宋" w:hAnsi="仿宋" w:eastAsia="仿宋" w:cs="仿宋"/>
          <w:kern w:val="0"/>
          <w:sz w:val="32"/>
          <w:szCs w:val="32"/>
          <w:lang w:val="en-US" w:eastAsia="zh-CN"/>
        </w:rPr>
        <w:t>3089户，实际完成值3089户，</w:t>
      </w:r>
      <w:r>
        <w:rPr>
          <w:rFonts w:hint="eastAsia" w:ascii="仿宋" w:hAnsi="仿宋" w:eastAsia="仿宋" w:cs="仿宋"/>
          <w:color w:val="0C0C0C"/>
          <w:sz w:val="32"/>
          <w:szCs w:val="32"/>
          <w:lang w:val="en-US" w:eastAsia="zh-CN"/>
        </w:rPr>
        <w:t>该指标权值分为4分，得分4分；涉及贫困村</w:t>
      </w:r>
      <w:r>
        <w:rPr>
          <w:rFonts w:hint="eastAsia" w:ascii="仿宋" w:hAnsi="仿宋" w:eastAsia="仿宋" w:cs="仿宋"/>
          <w:kern w:val="0"/>
          <w:sz w:val="32"/>
          <w:szCs w:val="32"/>
          <w:lang w:val="en-US" w:eastAsia="zh-CN"/>
        </w:rPr>
        <w:t>指标预期值≥104个，实际完成值104个，</w:t>
      </w:r>
      <w:r>
        <w:rPr>
          <w:rFonts w:hint="eastAsia" w:ascii="仿宋" w:hAnsi="仿宋" w:eastAsia="仿宋" w:cs="仿宋"/>
          <w:color w:val="0C0C0C"/>
          <w:sz w:val="32"/>
          <w:szCs w:val="32"/>
          <w:lang w:val="en-US" w:eastAsia="zh-CN"/>
        </w:rPr>
        <w:t>该指标权值分为4分，得分4分；督促检查次数指标预期值</w:t>
      </w:r>
      <w:r>
        <w:rPr>
          <w:rFonts w:hint="eastAsia" w:ascii="仿宋" w:hAnsi="仿宋" w:eastAsia="仿宋" w:cs="仿宋"/>
          <w:kern w:val="0"/>
          <w:sz w:val="32"/>
          <w:szCs w:val="32"/>
          <w:lang w:val="en-US" w:eastAsia="zh-CN"/>
        </w:rPr>
        <w:t>≥</w:t>
      </w:r>
      <w:r>
        <w:rPr>
          <w:rFonts w:hint="eastAsia" w:ascii="仿宋" w:hAnsi="仿宋" w:eastAsia="仿宋" w:cs="仿宋"/>
          <w:color w:val="0C0C0C"/>
          <w:sz w:val="32"/>
          <w:szCs w:val="32"/>
          <w:lang w:val="en-US" w:eastAsia="zh-CN"/>
        </w:rPr>
        <w:t>10次，实际完成值10次，该指标权值分为4分，得分4分；数量指标总权值分16分，得分16分。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2.项目完成质量。</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项目经专业部门验收，</w:t>
      </w:r>
      <w:r>
        <w:rPr>
          <w:rFonts w:hint="eastAsia" w:ascii="仿宋" w:hAnsi="仿宋" w:eastAsia="仿宋" w:cs="仿宋"/>
          <w:color w:val="0C0C0C"/>
          <w:sz w:val="32"/>
          <w:szCs w:val="32"/>
          <w:lang w:val="en-US" w:eastAsia="zh-CN"/>
        </w:rPr>
        <w:t>督促检查次数指标预期值</w:t>
      </w:r>
      <w:r>
        <w:rPr>
          <w:rFonts w:hint="eastAsia" w:ascii="仿宋" w:hAnsi="仿宋" w:eastAsia="仿宋" w:cs="仿宋"/>
          <w:kern w:val="0"/>
          <w:sz w:val="32"/>
          <w:szCs w:val="32"/>
          <w:lang w:val="en-US" w:eastAsia="zh-CN"/>
        </w:rPr>
        <w:t>≥</w:t>
      </w:r>
      <w:r>
        <w:rPr>
          <w:rFonts w:hint="eastAsia" w:ascii="仿宋" w:hAnsi="仿宋" w:eastAsia="仿宋" w:cs="仿宋"/>
          <w:color w:val="0C0C0C"/>
          <w:sz w:val="32"/>
          <w:szCs w:val="32"/>
          <w:lang w:val="en-US" w:eastAsia="zh-CN"/>
        </w:rPr>
        <w:t>10次，实际完成值10次，该指标权值分为4分，得分4分；</w:t>
      </w:r>
      <w:r>
        <w:rPr>
          <w:rFonts w:hint="eastAsia" w:ascii="仿宋" w:hAnsi="仿宋" w:eastAsia="仿宋" w:cs="仿宋"/>
          <w:kern w:val="0"/>
          <w:sz w:val="32"/>
          <w:szCs w:val="32"/>
          <w:lang w:val="en-US" w:eastAsia="zh-CN"/>
        </w:rPr>
        <w:t>果品优质果率指标预期值≥85%，实际完成值85%，</w:t>
      </w:r>
      <w:r>
        <w:rPr>
          <w:rFonts w:hint="eastAsia" w:ascii="仿宋" w:hAnsi="仿宋" w:eastAsia="仿宋" w:cs="仿宋"/>
          <w:color w:val="0C0C0C"/>
          <w:sz w:val="32"/>
          <w:szCs w:val="32"/>
          <w:lang w:val="en-US" w:eastAsia="zh-CN"/>
        </w:rPr>
        <w:t>该指标权值分为4分，得分4分；</w:t>
      </w:r>
      <w:r>
        <w:rPr>
          <w:rFonts w:hint="eastAsia" w:ascii="仿宋" w:hAnsi="仿宋" w:eastAsia="仿宋" w:cs="仿宋"/>
          <w:kern w:val="0"/>
          <w:sz w:val="32"/>
          <w:szCs w:val="32"/>
          <w:lang w:val="en-US" w:eastAsia="zh-CN"/>
        </w:rPr>
        <w:t>优质果率的增长率指标预期值≥5%，实际完成值5%，</w:t>
      </w:r>
      <w:r>
        <w:rPr>
          <w:rFonts w:hint="eastAsia" w:ascii="仿宋" w:hAnsi="仿宋" w:eastAsia="仿宋" w:cs="仿宋"/>
          <w:color w:val="0C0C0C"/>
          <w:sz w:val="32"/>
          <w:szCs w:val="32"/>
          <w:lang w:val="en-US" w:eastAsia="zh-CN"/>
        </w:rPr>
        <w:t>该指标权值分为4分，得分4分；</w:t>
      </w:r>
      <w:r>
        <w:rPr>
          <w:rFonts w:hint="eastAsia" w:ascii="仿宋" w:hAnsi="仿宋" w:eastAsia="仿宋" w:cs="仿宋"/>
          <w:kern w:val="0"/>
          <w:sz w:val="32"/>
          <w:szCs w:val="32"/>
          <w:lang w:val="en-US" w:eastAsia="zh-CN"/>
        </w:rPr>
        <w:t>亩均产量增长率指标预期值≥10%，实际完成值10%，</w:t>
      </w:r>
      <w:r>
        <w:rPr>
          <w:rFonts w:hint="eastAsia" w:ascii="仿宋" w:hAnsi="仿宋" w:eastAsia="仿宋" w:cs="仿宋"/>
          <w:color w:val="0C0C0C"/>
          <w:sz w:val="32"/>
          <w:szCs w:val="32"/>
          <w:lang w:val="en-US" w:eastAsia="zh-CN"/>
        </w:rPr>
        <w:t>该指标权值分为4分，得分4分；质量指标总权值分16分，得分16分</w:t>
      </w:r>
      <w:r>
        <w:rPr>
          <w:rFonts w:hint="eastAsia" w:ascii="仿宋" w:hAnsi="仿宋" w:eastAsia="仿宋" w:cs="仿宋"/>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3.项目完工时效</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kern w:val="0"/>
          <w:sz w:val="32"/>
          <w:szCs w:val="32"/>
          <w:lang w:val="en-US" w:eastAsia="zh-CN"/>
        </w:rPr>
        <w:t>该项目谁设立时效指标2019年1月开工及时率指标预期值100%，实际完成值100%，</w:t>
      </w:r>
      <w:r>
        <w:rPr>
          <w:rFonts w:hint="eastAsia" w:ascii="仿宋" w:hAnsi="仿宋" w:eastAsia="仿宋" w:cs="仿宋"/>
          <w:color w:val="0C0C0C"/>
          <w:sz w:val="32"/>
          <w:szCs w:val="32"/>
          <w:lang w:val="en-US" w:eastAsia="zh-CN"/>
        </w:rPr>
        <w:t>该指标权值分为6分，得分6分；</w:t>
      </w:r>
      <w:r>
        <w:rPr>
          <w:rFonts w:hint="eastAsia" w:ascii="仿宋" w:hAnsi="仿宋" w:eastAsia="仿宋" w:cs="仿宋"/>
          <w:kern w:val="0"/>
          <w:sz w:val="32"/>
          <w:szCs w:val="32"/>
          <w:lang w:val="en-US" w:eastAsia="zh-CN"/>
        </w:rPr>
        <w:t>2019年9月完工及时率指标预期值100%，实际完成值100%，</w:t>
      </w:r>
      <w:r>
        <w:rPr>
          <w:rFonts w:hint="eastAsia" w:ascii="仿宋" w:hAnsi="仿宋" w:eastAsia="仿宋" w:cs="仿宋"/>
          <w:color w:val="0C0C0C"/>
          <w:sz w:val="32"/>
          <w:szCs w:val="32"/>
          <w:lang w:val="en-US" w:eastAsia="zh-CN"/>
        </w:rPr>
        <w:t>该指标权值分为6分，得分6分；时效指标总权值分12分，得分12分。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4.项目成本节约情况</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该项目成本指标亩均补助标准指标预期值≤500元/亩，实际完成值500元/亩，</w:t>
      </w:r>
      <w:r>
        <w:rPr>
          <w:rFonts w:hint="eastAsia" w:ascii="仿宋" w:hAnsi="仿宋" w:eastAsia="仿宋" w:cs="仿宋"/>
          <w:color w:val="0C0C0C"/>
          <w:sz w:val="32"/>
          <w:szCs w:val="32"/>
          <w:lang w:val="en-US" w:eastAsia="zh-CN"/>
        </w:rPr>
        <w:t>该指标权值分为6分，得分6分；成本指标总权衡分值6分，得分6分。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lang w:eastAsia="zh-CN"/>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二）</w:t>
      </w:r>
      <w:r>
        <w:rPr>
          <w:rStyle w:val="18"/>
          <w:rFonts w:hint="eastAsia" w:ascii="楷体" w:hAnsi="楷体" w:eastAsia="楷体"/>
          <w:spacing w:val="-4"/>
          <w:sz w:val="32"/>
          <w:szCs w:val="32"/>
          <w:lang w:eastAsia="zh-CN"/>
        </w:rPr>
        <w:t>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1.项目实施的经济效益分析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sz w:val="32"/>
          <w:szCs w:val="32"/>
          <w:lang w:val="en-US" w:eastAsia="zh-CN"/>
        </w:rPr>
        <w:t>经济效益指标：亩均增收指标预期值≥</w:t>
      </w:r>
      <w:r>
        <w:rPr>
          <w:rFonts w:hint="eastAsia" w:ascii="仿宋" w:hAnsi="仿宋" w:eastAsia="仿宋" w:cs="仿宋"/>
          <w:kern w:val="0"/>
          <w:sz w:val="32"/>
          <w:szCs w:val="32"/>
          <w:lang w:val="en-US" w:eastAsia="zh-CN"/>
        </w:rPr>
        <w:t>10%，实际完成值10%，</w:t>
      </w:r>
      <w:r>
        <w:rPr>
          <w:rFonts w:hint="eastAsia" w:ascii="仿宋" w:hAnsi="仿宋" w:eastAsia="仿宋" w:cs="仿宋"/>
          <w:color w:val="0C0C0C"/>
          <w:sz w:val="32"/>
          <w:szCs w:val="32"/>
          <w:lang w:val="en-US" w:eastAsia="zh-CN"/>
        </w:rPr>
        <w:t>该指标权值分为6分，得分6分；</w:t>
      </w:r>
      <w:r>
        <w:rPr>
          <w:rFonts w:hint="eastAsia" w:ascii="仿宋" w:hAnsi="仿宋" w:eastAsia="仿宋" w:cs="仿宋"/>
          <w:kern w:val="0"/>
          <w:sz w:val="32"/>
          <w:szCs w:val="32"/>
          <w:lang w:val="en-US" w:eastAsia="zh-CN"/>
        </w:rPr>
        <w:t>特色产业带动增加贫困人口收入指标预期值≥1104.27万元，实际完成值预计可达1104.27万元，</w:t>
      </w:r>
      <w:r>
        <w:rPr>
          <w:rFonts w:hint="eastAsia" w:ascii="仿宋" w:hAnsi="仿宋" w:eastAsia="仿宋" w:cs="仿宋"/>
          <w:color w:val="0C0C0C"/>
          <w:sz w:val="32"/>
          <w:szCs w:val="32"/>
          <w:lang w:val="en-US" w:eastAsia="zh-CN"/>
        </w:rPr>
        <w:t>该指标权值分为6分，得分0分；由于项目实施完毕时间较短,效益暂无法具体核实,预计可达到目标。</w:t>
      </w:r>
      <w:r>
        <w:rPr>
          <w:rFonts w:hint="eastAsia" w:ascii="仿宋" w:hAnsi="仿宋" w:eastAsia="仿宋" w:cs="仿宋"/>
          <w:sz w:val="32"/>
          <w:szCs w:val="32"/>
          <w:lang w:val="en-US" w:eastAsia="zh-CN"/>
        </w:rPr>
        <w:t>经济效益指标</w:t>
      </w:r>
      <w:r>
        <w:rPr>
          <w:rFonts w:hint="eastAsia" w:ascii="仿宋" w:hAnsi="仿宋" w:eastAsia="仿宋" w:cs="仿宋"/>
          <w:color w:val="0C0C0C"/>
          <w:sz w:val="32"/>
          <w:szCs w:val="32"/>
          <w:lang w:val="en-US" w:eastAsia="zh-CN"/>
        </w:rPr>
        <w:t>总权衡分值12分，得分6分。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2.项目实施的社会效益分析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kern w:val="0"/>
          <w:sz w:val="32"/>
          <w:szCs w:val="32"/>
          <w:lang w:val="en-US" w:eastAsia="zh-CN"/>
        </w:rPr>
        <w:t>社会效益指标：有效带动周边实施特色林果提质增效指标预期值显著提升，实际完成值100%，</w:t>
      </w:r>
      <w:r>
        <w:rPr>
          <w:rFonts w:hint="eastAsia" w:ascii="仿宋" w:hAnsi="仿宋" w:eastAsia="仿宋" w:cs="仿宋"/>
          <w:color w:val="0C0C0C"/>
          <w:sz w:val="32"/>
          <w:szCs w:val="32"/>
          <w:lang w:val="en-US" w:eastAsia="zh-CN"/>
        </w:rPr>
        <w:t>该指标权值分为6分，得分6分；受益建档立卡贫困人口数指标预期值</w:t>
      </w:r>
      <w:r>
        <w:rPr>
          <w:rFonts w:hint="eastAsia" w:ascii="仿宋" w:hAnsi="仿宋" w:eastAsia="仿宋" w:cs="仿宋"/>
          <w:kern w:val="0"/>
          <w:sz w:val="32"/>
          <w:szCs w:val="32"/>
          <w:lang w:val="en-US" w:eastAsia="zh-CN"/>
        </w:rPr>
        <w:t>≥</w:t>
      </w:r>
      <w:r>
        <w:rPr>
          <w:rFonts w:hint="eastAsia" w:ascii="仿宋" w:hAnsi="仿宋" w:eastAsia="仿宋" w:cs="仿宋"/>
          <w:color w:val="0C0C0C"/>
          <w:sz w:val="32"/>
          <w:szCs w:val="32"/>
          <w:lang w:val="en-US" w:eastAsia="zh-CN"/>
        </w:rPr>
        <w:t>12392人，实际完成值12392人，该指标权值分为6分，得分6分；社会效益指标总权衡分值12分，得分12分。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4.项目实施的可持续影响分析</w:t>
      </w:r>
    </w:p>
    <w:p>
      <w:pPr>
        <w:keepLines w:val="0"/>
        <w:pageBreakBefore w:val="0"/>
        <w:kinsoku/>
        <w:wordWrap/>
        <w:overflowPunct/>
        <w:topLinePunct w:val="0"/>
        <w:autoSpaceDE/>
        <w:autoSpaceDN/>
        <w:bidi w:val="0"/>
        <w:spacing w:line="560" w:lineRule="exact"/>
        <w:ind w:firstLine="640" w:firstLineChars="200"/>
        <w:textAlignment w:val="auto"/>
        <w:rPr>
          <w:rFonts w:hint="default" w:ascii="仿宋" w:hAnsi="仿宋" w:eastAsia="仿宋" w:cs="仿宋"/>
          <w:kern w:val="0"/>
          <w:sz w:val="32"/>
          <w:szCs w:val="32"/>
          <w:lang w:val="en-US" w:eastAsia="zh-CN"/>
        </w:rPr>
      </w:pPr>
      <w:r>
        <w:rPr>
          <w:rFonts w:hint="eastAsia" w:ascii="仿宋" w:hAnsi="仿宋" w:eastAsia="仿宋" w:cs="仿宋"/>
          <w:color w:val="0C0C0C"/>
          <w:sz w:val="32"/>
          <w:szCs w:val="32"/>
        </w:rPr>
        <w:t>可持续影响指标</w:t>
      </w:r>
      <w:r>
        <w:rPr>
          <w:rFonts w:hint="eastAsia" w:ascii="仿宋" w:hAnsi="仿宋" w:eastAsia="仿宋" w:cs="仿宋"/>
          <w:color w:val="0C0C0C"/>
          <w:sz w:val="32"/>
          <w:szCs w:val="32"/>
          <w:lang w:eastAsia="zh-CN"/>
        </w:rPr>
        <w:t>：提质增效对果林的影响</w:t>
      </w:r>
      <w:r>
        <w:rPr>
          <w:rFonts w:hint="eastAsia" w:ascii="仿宋" w:hAnsi="仿宋" w:eastAsia="仿宋" w:cs="仿宋"/>
          <w:color w:val="0C0C0C"/>
          <w:sz w:val="32"/>
          <w:szCs w:val="32"/>
          <w:lang w:val="en-US" w:eastAsia="zh-CN"/>
        </w:rPr>
        <w:t>指标预期值</w:t>
      </w:r>
      <w:r>
        <w:rPr>
          <w:rFonts w:hint="eastAsia" w:ascii="仿宋" w:hAnsi="仿宋" w:eastAsia="仿宋" w:cs="仿宋"/>
          <w:kern w:val="0"/>
          <w:sz w:val="32"/>
          <w:szCs w:val="32"/>
          <w:lang w:val="en-US" w:eastAsia="zh-CN"/>
        </w:rPr>
        <w:t>≥3年，实际完成值3年，</w:t>
      </w:r>
      <w:r>
        <w:rPr>
          <w:rFonts w:hint="eastAsia" w:ascii="仿宋" w:hAnsi="仿宋" w:eastAsia="仿宋" w:cs="仿宋"/>
          <w:color w:val="0C0C0C"/>
          <w:sz w:val="32"/>
          <w:szCs w:val="32"/>
          <w:lang w:val="en-US" w:eastAsia="zh-CN"/>
        </w:rPr>
        <w:t>该指标权值分为6分，得分6分。</w:t>
      </w:r>
      <w:r>
        <w:rPr>
          <w:rFonts w:hint="eastAsia" w:ascii="仿宋" w:hAnsi="仿宋" w:eastAsia="仿宋" w:cs="仿宋"/>
          <w:color w:val="0C0C0C"/>
          <w:sz w:val="32"/>
          <w:szCs w:val="32"/>
        </w:rPr>
        <w:t>可持续影响指标</w:t>
      </w:r>
      <w:r>
        <w:rPr>
          <w:rFonts w:hint="eastAsia" w:ascii="仿宋" w:hAnsi="仿宋" w:eastAsia="仿宋" w:cs="仿宋"/>
          <w:color w:val="0C0C0C"/>
          <w:sz w:val="32"/>
          <w:szCs w:val="32"/>
          <w:lang w:val="en-US" w:eastAsia="zh-CN"/>
        </w:rPr>
        <w:t>总权衡分值6分，得分6分。</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lang w:val="en-US" w:eastAsia="zh-CN"/>
        </w:rPr>
        <w:t>三）</w:t>
      </w:r>
      <w:r>
        <w:rPr>
          <w:rStyle w:val="18"/>
          <w:rFonts w:hint="eastAsia" w:ascii="楷体" w:hAnsi="楷体" w:eastAsia="楷体"/>
          <w:spacing w:val="-4"/>
          <w:sz w:val="32"/>
          <w:szCs w:val="32"/>
        </w:rPr>
        <w:t>满意度指标完成情况分析</w:t>
      </w:r>
    </w:p>
    <w:p>
      <w:pPr>
        <w:keepLines w:val="0"/>
        <w:pageBreakBefore w:val="0"/>
        <w:kinsoku/>
        <w:wordWrap/>
        <w:overflowPunct/>
        <w:topLinePunct w:val="0"/>
        <w:autoSpaceDE/>
        <w:autoSpaceDN/>
        <w:bidi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color w:val="0C0C0C"/>
          <w:sz w:val="32"/>
          <w:szCs w:val="32"/>
        </w:rPr>
        <w:t>服务对象满意度指标</w:t>
      </w:r>
      <w:r>
        <w:rPr>
          <w:rFonts w:hint="eastAsia" w:ascii="仿宋" w:hAnsi="仿宋" w:eastAsia="仿宋" w:cs="仿宋"/>
          <w:color w:val="0C0C0C"/>
          <w:sz w:val="32"/>
          <w:szCs w:val="32"/>
          <w:lang w:eastAsia="zh-CN"/>
        </w:rPr>
        <w:t>：</w:t>
      </w:r>
      <w:r>
        <w:rPr>
          <w:rFonts w:hint="eastAsia" w:ascii="仿宋" w:hAnsi="仿宋" w:eastAsia="仿宋" w:cs="仿宋"/>
          <w:color w:val="0C0C0C"/>
          <w:sz w:val="32"/>
          <w:szCs w:val="32"/>
        </w:rPr>
        <w:t>受益人员满意度</w:t>
      </w:r>
      <w:r>
        <w:rPr>
          <w:rFonts w:hint="eastAsia" w:ascii="仿宋" w:hAnsi="仿宋" w:eastAsia="仿宋" w:cs="仿宋"/>
          <w:color w:val="0C0C0C"/>
          <w:sz w:val="32"/>
          <w:szCs w:val="32"/>
          <w:lang w:val="en-US" w:eastAsia="zh-CN"/>
        </w:rPr>
        <w:t>指标预期值≥95%，实际完成值95%，</w:t>
      </w:r>
      <w:r>
        <w:rPr>
          <w:rFonts w:hint="eastAsia" w:ascii="仿宋" w:hAnsi="仿宋" w:eastAsia="仿宋" w:cs="仿宋"/>
          <w:kern w:val="0"/>
          <w:sz w:val="32"/>
          <w:szCs w:val="32"/>
          <w:lang w:val="en-US" w:eastAsia="zh-CN"/>
        </w:rPr>
        <w:t>项目根据发放的满意度调查问卷，</w:t>
      </w:r>
      <w:r>
        <w:rPr>
          <w:rFonts w:hint="eastAsia" w:ascii="仿宋" w:hAnsi="仿宋" w:eastAsia="仿宋" w:cs="仿宋"/>
          <w:color w:val="0C0C0C"/>
          <w:sz w:val="32"/>
          <w:szCs w:val="32"/>
        </w:rPr>
        <w:t>受益人员满意度</w:t>
      </w:r>
      <w:r>
        <w:rPr>
          <w:rFonts w:hint="eastAsia" w:ascii="仿宋" w:hAnsi="仿宋" w:eastAsia="仿宋" w:cs="仿宋"/>
          <w:kern w:val="0"/>
          <w:sz w:val="32"/>
          <w:szCs w:val="32"/>
          <w:lang w:val="en-US" w:eastAsia="zh-CN"/>
        </w:rPr>
        <w:t>达95%，</w:t>
      </w:r>
      <w:r>
        <w:rPr>
          <w:rFonts w:hint="eastAsia" w:ascii="仿宋" w:hAnsi="仿宋" w:eastAsia="仿宋" w:cs="仿宋"/>
          <w:color w:val="0C0C0C"/>
          <w:sz w:val="32"/>
          <w:szCs w:val="32"/>
          <w:lang w:val="en-US" w:eastAsia="zh-CN"/>
        </w:rPr>
        <w:t>该指标权值分为10分，得分10分，</w:t>
      </w:r>
      <w:r>
        <w:rPr>
          <w:rFonts w:hint="eastAsia" w:ascii="仿宋" w:hAnsi="仿宋" w:eastAsia="仿宋" w:cs="仿宋"/>
          <w:color w:val="0C0C0C"/>
          <w:sz w:val="32"/>
          <w:szCs w:val="32"/>
        </w:rPr>
        <w:t>服务对象满意度指标</w:t>
      </w:r>
      <w:r>
        <w:rPr>
          <w:rFonts w:hint="eastAsia" w:ascii="仿宋" w:hAnsi="仿宋" w:eastAsia="仿宋" w:cs="仿宋"/>
          <w:color w:val="0C0C0C"/>
          <w:sz w:val="32"/>
          <w:szCs w:val="32"/>
          <w:lang w:val="en-US" w:eastAsia="zh-CN"/>
        </w:rPr>
        <w:t>总权衡分值10分，得分10分。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五、项目绩效目标未完成的原因分析和改进措施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项目绩效目标已完成，下一步将结合2019年任务，对各项指标和指标值的设定要进一步优化、完善，同时强化林果实用技术培训。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六、综合评价结论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经综合评价，本项目达成预期指标，在项目实施过程中，做到了资金使用、管理、保障到位，严格执行扶贫资金管理办法和财政资金管理制度，按照项目实施方案、招投标管理办法，根据年初设定的绩效目标，此项目综合评价得分为94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七、项目实施的经验、问题、建议</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w:t>
      </w:r>
      <w:r>
        <w:rPr>
          <w:rStyle w:val="18"/>
          <w:rFonts w:hint="eastAsia" w:ascii="楷体" w:hAnsi="楷体" w:eastAsia="楷体"/>
          <w:spacing w:val="-4"/>
          <w:sz w:val="32"/>
          <w:szCs w:val="32"/>
          <w:lang w:val="en-US" w:eastAsia="zh-CN"/>
        </w:rPr>
        <w:t>一</w:t>
      </w:r>
      <w:r>
        <w:rPr>
          <w:rStyle w:val="18"/>
          <w:rFonts w:hint="eastAsia" w:ascii="楷体" w:hAnsi="楷体" w:eastAsia="楷体"/>
          <w:spacing w:val="-4"/>
          <w:sz w:val="32"/>
          <w:szCs w:val="32"/>
        </w:rPr>
        <w:t>）主要经验及做法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进一步加大密植园疏密和肥料投入，提高补助标准。</w:t>
      </w:r>
    </w:p>
    <w:p>
      <w:pPr>
        <w:pStyle w:val="2"/>
        <w:keepLines w:val="0"/>
        <w:pageBreakBefore w:val="0"/>
        <w:numPr>
          <w:ilvl w:val="0"/>
          <w:numId w:val="0"/>
        </w:numPr>
        <w:kinsoku/>
        <w:wordWrap/>
        <w:overflowPunct/>
        <w:topLinePunct w:val="0"/>
        <w:autoSpaceDE/>
        <w:autoSpaceDN/>
        <w:bidi w:val="0"/>
        <w:adjustRightInd/>
        <w:snapToGrid/>
        <w:spacing w:line="560" w:lineRule="exact"/>
        <w:ind w:firstLine="627" w:firstLineChars="200"/>
        <w:textAlignment w:val="auto"/>
        <w:rPr>
          <w:rStyle w:val="18"/>
          <w:rFonts w:hint="eastAsia" w:ascii="楷体" w:hAnsi="楷体" w:eastAsia="楷体" w:cs="Times New Roman"/>
          <w:b/>
          <w:bCs/>
          <w:spacing w:val="-4"/>
          <w:kern w:val="2"/>
          <w:sz w:val="32"/>
          <w:szCs w:val="32"/>
          <w:lang w:val="en-US" w:eastAsia="zh-CN" w:bidi="ar-SA"/>
        </w:rPr>
      </w:pPr>
      <w:r>
        <w:rPr>
          <w:rStyle w:val="18"/>
          <w:rFonts w:hint="eastAsia" w:ascii="楷体" w:hAnsi="楷体" w:eastAsia="楷体" w:cs="Times New Roman"/>
          <w:b/>
          <w:bCs/>
          <w:spacing w:val="-4"/>
          <w:kern w:val="2"/>
          <w:sz w:val="32"/>
          <w:szCs w:val="32"/>
          <w:lang w:val="en-US" w:eastAsia="zh-CN" w:bidi="ar-SA"/>
        </w:rPr>
        <w:t>（二）存在的问题</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lang w:val="en-US" w:eastAsia="zh-CN"/>
        </w:rPr>
        <w:t>（三）建议</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一是强项目实施管理。加强组织领导，实行分工负责。并定期召开协调会、推进会，协调解决实际困难。</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二是加强项目资金管理。切实做到项目资金专款专用，专人负责。规范项目资金管理，促进了项目顺利实施，做到了手续完备、专账管理、专人负责、账目清楚。</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八、绩效评价工作有关说明</w:t>
      </w:r>
    </w:p>
    <w:p>
      <w:pPr>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次评价通过文件研读、实地调研、数据分析等方式，全面了项目资金的使用效率和效果，项目管理过程规范，按照实施方案完成了预期绩效目标等。同时，通过开展自我评价来总结经验,为今后项目执行提供参考依据。绩效自评结果根据上级要求时间公开。</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九</w:t>
      </w:r>
      <w:r>
        <w:rPr>
          <w:rStyle w:val="18"/>
          <w:rFonts w:hint="eastAsia" w:ascii="黑体" w:hAnsi="黑体" w:eastAsia="黑体"/>
          <w:b w:val="0"/>
          <w:spacing w:val="-4"/>
          <w:sz w:val="32"/>
          <w:szCs w:val="32"/>
        </w:rPr>
        <w:t>、附表</w:t>
      </w:r>
    </w:p>
    <w:p>
      <w:pPr>
        <w:keepLines w:val="0"/>
        <w:pageBreakBefore w:val="0"/>
        <w:kinsoku/>
        <w:wordWrap/>
        <w:overflowPunct/>
        <w:topLinePunct w:val="0"/>
        <w:autoSpaceDE/>
        <w:autoSpaceDN/>
        <w:bidi w:val="0"/>
        <w:adjustRightInd/>
        <w:snapToGrid/>
        <w:spacing w:line="560" w:lineRule="exact"/>
        <w:ind w:firstLine="643" w:firstLineChars="200"/>
        <w:textAlignment w:val="auto"/>
        <w:rPr>
          <w:sz w:val="32"/>
          <w:szCs w:val="32"/>
          <w:lang w:val="en-US" w:eastAsia="zh-CN"/>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绩效目标自评表</w:t>
      </w:r>
      <w:r>
        <w:rPr>
          <w:rFonts w:hint="eastAsia" w:ascii="仿宋" w:hAnsi="仿宋" w:eastAsia="仿宋" w:cs="仿宋"/>
          <w:b/>
          <w:bCs/>
          <w:color w:val="000000"/>
          <w:sz w:val="32"/>
          <w:szCs w:val="32"/>
        </w:rPr>
        <w:t>》</w:t>
      </w:r>
    </w:p>
    <w:p>
      <w:pPr>
        <w:pStyle w:val="2"/>
      </w:pPr>
    </w:p>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3</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7768F"/>
    <w:rsid w:val="176D578A"/>
    <w:rsid w:val="1AEC585D"/>
    <w:rsid w:val="200A7D53"/>
    <w:rsid w:val="2F827348"/>
    <w:rsid w:val="32836E50"/>
    <w:rsid w:val="35FF195B"/>
    <w:rsid w:val="3A822C24"/>
    <w:rsid w:val="3F7028BB"/>
    <w:rsid w:val="47CD495B"/>
    <w:rsid w:val="496A1217"/>
    <w:rsid w:val="57F26275"/>
    <w:rsid w:val="5A5463AE"/>
    <w:rsid w:val="5D877F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Cambria" w:hAnsi="Cambria" w:eastAsia="宋体"/>
      <w:b/>
      <w:bCs/>
      <w:kern w:val="32"/>
      <w:sz w:val="32"/>
      <w:szCs w:val="32"/>
    </w:rPr>
  </w:style>
  <w:style w:type="paragraph" w:styleId="4">
    <w:name w:val="heading 2"/>
    <w:basedOn w:val="1"/>
    <w:next w:val="1"/>
    <w:link w:val="21"/>
    <w:qFormat/>
    <w:uiPriority w:val="9"/>
    <w:pPr>
      <w:keepNext/>
      <w:widowControl/>
      <w:spacing w:before="240" w:after="60"/>
      <w:jc w:val="left"/>
      <w:outlineLvl w:val="1"/>
    </w:pPr>
    <w:rPr>
      <w:rFonts w:ascii="Cambria" w:hAnsi="Cambria" w:eastAsia="宋体"/>
      <w:b/>
      <w:bCs/>
      <w:i/>
      <w:iCs/>
      <w:kern w:val="0"/>
      <w:sz w:val="28"/>
      <w:szCs w:val="28"/>
    </w:rPr>
  </w:style>
  <w:style w:type="paragraph" w:styleId="2">
    <w:name w:val="heading 3"/>
    <w:basedOn w:val="1"/>
    <w:next w:val="1"/>
    <w:link w:val="22"/>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3"/>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4"/>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5"/>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26"/>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27"/>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28"/>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qFormat/>
    <w:uiPriority w:val="1"/>
  </w:style>
  <w:style w:type="table" w:default="1" w:styleId="16">
    <w:name w:val="Normal Table"/>
    <w:qFormat/>
    <w:uiPriority w:val="99"/>
    <w:tblPr>
      <w:tblCellMar>
        <w:top w:w="0" w:type="dxa"/>
        <w:left w:w="108" w:type="dxa"/>
        <w:bottom w:w="0" w:type="dxa"/>
        <w:right w:w="108" w:type="dxa"/>
      </w:tblCellMar>
    </w:tblPr>
  </w:style>
  <w:style w:type="paragraph" w:styleId="11">
    <w:name w:val="Balloon Text"/>
    <w:basedOn w:val="1"/>
    <w:link w:val="45"/>
    <w:qFormat/>
    <w:uiPriority w:val="99"/>
    <w:rPr>
      <w:sz w:val="18"/>
      <w:szCs w:val="18"/>
    </w:rPr>
  </w:style>
  <w:style w:type="paragraph" w:styleId="12">
    <w:name w:val="footer"/>
    <w:basedOn w:val="1"/>
    <w:link w:val="44"/>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29"/>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character" w:customStyle="1" w:styleId="20">
    <w:name w:val="标题 1 Char"/>
    <w:basedOn w:val="17"/>
    <w:link w:val="3"/>
    <w:qFormat/>
    <w:uiPriority w:val="9"/>
    <w:rPr>
      <w:rFonts w:ascii="Cambria" w:hAnsi="Cambria" w:eastAsia="宋体"/>
      <w:b/>
      <w:bCs/>
      <w:kern w:val="32"/>
      <w:sz w:val="32"/>
      <w:szCs w:val="32"/>
    </w:rPr>
  </w:style>
  <w:style w:type="character" w:customStyle="1" w:styleId="21">
    <w:name w:val="标题 2 Char"/>
    <w:basedOn w:val="17"/>
    <w:link w:val="4"/>
    <w:qFormat/>
    <w:uiPriority w:val="9"/>
    <w:rPr>
      <w:rFonts w:ascii="Cambria" w:hAnsi="Cambria" w:eastAsia="宋体"/>
      <w:b/>
      <w:bCs/>
      <w:i/>
      <w:iCs/>
      <w:sz w:val="28"/>
      <w:szCs w:val="28"/>
    </w:rPr>
  </w:style>
  <w:style w:type="character" w:customStyle="1" w:styleId="22">
    <w:name w:val="标题 3 Char"/>
    <w:basedOn w:val="17"/>
    <w:link w:val="2"/>
    <w:qFormat/>
    <w:uiPriority w:val="9"/>
    <w:rPr>
      <w:rFonts w:ascii="Cambria" w:hAnsi="Cambria" w:eastAsia="宋体"/>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qFormat/>
    <w:uiPriority w:val="9"/>
    <w:rPr>
      <w:b/>
      <w:bCs/>
      <w:i/>
      <w:iCs/>
      <w:sz w:val="26"/>
      <w:szCs w:val="26"/>
    </w:rPr>
  </w:style>
  <w:style w:type="character" w:customStyle="1" w:styleId="25">
    <w:name w:val="标题 6 Char"/>
    <w:basedOn w:val="17"/>
    <w:link w:val="7"/>
    <w:qFormat/>
    <w:uiPriority w:val="9"/>
    <w:rPr>
      <w:b/>
      <w:bCs/>
    </w:rPr>
  </w:style>
  <w:style w:type="character" w:customStyle="1" w:styleId="26">
    <w:name w:val="标题 7 Char"/>
    <w:basedOn w:val="17"/>
    <w:link w:val="8"/>
    <w:qFormat/>
    <w:uiPriority w:val="9"/>
    <w:rPr>
      <w:sz w:val="24"/>
      <w:szCs w:val="24"/>
    </w:rPr>
  </w:style>
  <w:style w:type="character" w:customStyle="1" w:styleId="27">
    <w:name w:val="标题 8 Char"/>
    <w:basedOn w:val="17"/>
    <w:link w:val="9"/>
    <w:qFormat/>
    <w:uiPriority w:val="9"/>
    <w:rPr>
      <w:i/>
      <w:iCs/>
      <w:sz w:val="24"/>
      <w:szCs w:val="24"/>
    </w:rPr>
  </w:style>
  <w:style w:type="character" w:customStyle="1" w:styleId="28">
    <w:name w:val="标题 9 Char"/>
    <w:basedOn w:val="17"/>
    <w:link w:val="10"/>
    <w:qFormat/>
    <w:uiPriority w:val="9"/>
    <w:rPr>
      <w:rFonts w:ascii="Cambria" w:hAnsi="Cambria" w:eastAsia="宋体"/>
    </w:rPr>
  </w:style>
  <w:style w:type="character" w:customStyle="1" w:styleId="29">
    <w:name w:val="标题 Char"/>
    <w:basedOn w:val="17"/>
    <w:link w:val="15"/>
    <w:qFormat/>
    <w:uiPriority w:val="10"/>
    <w:rPr>
      <w:rFonts w:ascii="Cambria" w:hAnsi="Cambria" w:eastAsia="宋体"/>
      <w:b/>
      <w:bCs/>
      <w:kern w:val="28"/>
      <w:sz w:val="32"/>
      <w:szCs w:val="32"/>
    </w:rPr>
  </w:style>
  <w:style w:type="character" w:customStyle="1" w:styleId="30">
    <w:name w:val="副标题 Char"/>
    <w:basedOn w:val="17"/>
    <w:link w:val="14"/>
    <w:qFormat/>
    <w:uiPriority w:val="11"/>
    <w:rPr>
      <w:rFonts w:ascii="Cambria" w:hAnsi="Cambria" w:eastAsia="宋体"/>
      <w:sz w:val="24"/>
      <w:szCs w:val="24"/>
    </w:rPr>
  </w:style>
  <w:style w:type="paragraph" w:styleId="31">
    <w:name w:val="No Spacing"/>
    <w:basedOn w:val="1"/>
    <w:qFormat/>
    <w:uiPriority w:val="1"/>
    <w:pPr>
      <w:widowControl/>
      <w:jc w:val="left"/>
    </w:pPr>
    <w:rPr>
      <w:rFonts w:ascii="Calibri" w:hAnsi="Calibri" w:eastAsia="宋体"/>
      <w:kern w:val="0"/>
      <w:sz w:val="24"/>
      <w:szCs w:val="32"/>
      <w:lang w:eastAsia="en-US" w:bidi="en-US"/>
    </w:rPr>
  </w:style>
  <w:style w:type="paragraph" w:styleId="32">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styleId="33">
    <w:name w:val="Quote"/>
    <w:basedOn w:val="1"/>
    <w:next w:val="1"/>
    <w:link w:val="34"/>
    <w:qFormat/>
    <w:uiPriority w:val="29"/>
    <w:pPr>
      <w:widowControl/>
      <w:jc w:val="left"/>
    </w:pPr>
    <w:rPr>
      <w:rFonts w:ascii="Calibri" w:hAnsi="Calibri" w:eastAsia="宋体"/>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Calibri" w:hAnsi="Calibri" w:eastAsia="宋体"/>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_cd7ac2ff-dced-4a3c-ab04-41ae6282d8f8"/>
    <w:qFormat/>
    <w:uiPriority w:val="19"/>
    <w:rPr>
      <w:i/>
      <w:color w:val="595959"/>
    </w:rPr>
  </w:style>
  <w:style w:type="character" w:customStyle="1" w:styleId="38">
    <w:name w:val="Intense Emphasis_7d45c96f-88b9-4bdb-8268-8ee3f754398c"/>
    <w:basedOn w:val="17"/>
    <w:qFormat/>
    <w:uiPriority w:val="21"/>
    <w:rPr>
      <w:b/>
      <w:i/>
      <w:sz w:val="24"/>
      <w:szCs w:val="24"/>
      <w:u w:val="single"/>
    </w:rPr>
  </w:style>
  <w:style w:type="character" w:customStyle="1" w:styleId="39">
    <w:name w:val="Subtle Reference_fc035cc7-3d80-4218-8f2d-418ed6ffac99"/>
    <w:basedOn w:val="17"/>
    <w:qFormat/>
    <w:uiPriority w:val="31"/>
    <w:rPr>
      <w:sz w:val="24"/>
      <w:szCs w:val="24"/>
      <w:u w:val="single"/>
    </w:rPr>
  </w:style>
  <w:style w:type="character" w:customStyle="1" w:styleId="40">
    <w:name w:val="Intense Reference_42c5e790-c065-4194-9f0d-b50b58c90ffb"/>
    <w:basedOn w:val="17"/>
    <w:qFormat/>
    <w:uiPriority w:val="32"/>
    <w:rPr>
      <w:b/>
      <w:sz w:val="24"/>
      <w:u w:val="single"/>
    </w:rPr>
  </w:style>
  <w:style w:type="character" w:customStyle="1" w:styleId="41">
    <w:name w:val="Book Title_ae35aedc-6df3-429e-9e07-a7d285a67c93"/>
    <w:basedOn w:val="17"/>
    <w:qFormat/>
    <w:uiPriority w:val="33"/>
    <w:rPr>
      <w:rFonts w:ascii="Cambria" w:hAnsi="Cambria" w:eastAsia="宋体"/>
      <w:b/>
      <w:i/>
      <w:sz w:val="24"/>
      <w:szCs w:val="24"/>
    </w:rPr>
  </w:style>
  <w:style w:type="paragraph" w:customStyle="1" w:styleId="42">
    <w:name w:val="TOC Heading_27ce8f4c-8ce4-4fc7-aed4-2eb3afe29db4"/>
    <w:basedOn w:val="3"/>
    <w:next w:val="1"/>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qFormat/>
    <w:uiPriority w:val="99"/>
    <w:rPr>
      <w:rFonts w:ascii="Times New Roman" w:hAnsi="Times New Roman" w:eastAsia="宋体"/>
      <w:kern w:val="2"/>
      <w:sz w:val="18"/>
      <w:szCs w:val="18"/>
    </w:rPr>
  </w:style>
  <w:style w:type="character" w:customStyle="1" w:styleId="46">
    <w:name w:val="font131"/>
    <w:basedOn w:val="17"/>
    <w:qFormat/>
    <w:uiPriority w:val="0"/>
    <w:rPr>
      <w:rFonts w:hint="eastAsia" w:ascii="宋体" w:hAnsi="宋体" w:eastAsia="宋体" w:cs="宋体"/>
      <w:b/>
      <w:color w:val="000000"/>
      <w:sz w:val="32"/>
      <w:szCs w:val="32"/>
      <w:u w:val="none"/>
    </w:rPr>
  </w:style>
  <w:style w:type="character" w:customStyle="1" w:styleId="47">
    <w:name w:val="font61"/>
    <w:basedOn w:val="17"/>
    <w:qFormat/>
    <w:uiPriority w:val="0"/>
    <w:rPr>
      <w:rFonts w:hint="eastAsia" w:ascii="宋体" w:hAnsi="宋体" w:eastAsia="宋体" w:cs="宋体"/>
      <w:color w:val="000000"/>
      <w:sz w:val="32"/>
      <w:szCs w:val="32"/>
      <w:u w:val="none"/>
    </w:rPr>
  </w:style>
  <w:style w:type="character" w:customStyle="1" w:styleId="48">
    <w:name w:val="font51"/>
    <w:basedOn w:val="17"/>
    <w:qFormat/>
    <w:uiPriority w:val="0"/>
    <w:rPr>
      <w:rFonts w:hint="eastAsia" w:ascii="宋体" w:hAnsi="宋体" w:eastAsia="宋体" w:cs="宋体"/>
      <w:color w:val="000000"/>
      <w:sz w:val="32"/>
      <w:szCs w:val="32"/>
      <w:u w:val="none"/>
    </w:rPr>
  </w:style>
  <w:style w:type="character" w:customStyle="1" w:styleId="49">
    <w:name w:val="font121"/>
    <w:basedOn w:val="17"/>
    <w:qFormat/>
    <w:uiPriority w:val="0"/>
    <w:rPr>
      <w:rFonts w:hint="eastAsia" w:ascii="宋体" w:hAnsi="宋体" w:eastAsia="宋体" w:cs="宋体"/>
      <w:color w:val="000000"/>
      <w:sz w:val="20"/>
      <w:szCs w:val="20"/>
      <w:u w:val="none"/>
    </w:rPr>
  </w:style>
  <w:style w:type="character" w:customStyle="1" w:styleId="50">
    <w:name w:val="font81"/>
    <w:basedOn w:val="17"/>
    <w:qFormat/>
    <w:uiPriority w:val="0"/>
    <w:rPr>
      <w:rFonts w:hint="eastAsia" w:ascii="宋体" w:hAnsi="宋体" w:eastAsia="宋体" w:cs="宋体"/>
      <w:color w:val="000000"/>
      <w:sz w:val="32"/>
      <w:szCs w:val="32"/>
      <w:u w:val="none"/>
    </w:rPr>
  </w:style>
  <w:style w:type="character" w:customStyle="1" w:styleId="51">
    <w:name w:val="font11"/>
    <w:basedOn w:val="17"/>
    <w:qFormat/>
    <w:uiPriority w:val="0"/>
    <w:rPr>
      <w:rFonts w:hint="eastAsia" w:ascii="宋体" w:hAnsi="宋体" w:eastAsia="宋体" w:cs="宋体"/>
      <w:color w:val="000000"/>
      <w:sz w:val="20"/>
      <w:szCs w:val="20"/>
      <w:u w:val="none"/>
    </w:rPr>
  </w:style>
  <w:style w:type="character" w:customStyle="1" w:styleId="52">
    <w:name w:val="font91"/>
    <w:basedOn w:val="17"/>
    <w:qFormat/>
    <w:uiPriority w:val="0"/>
    <w:rPr>
      <w:rFonts w:hint="eastAsia" w:ascii="宋体" w:hAnsi="宋体" w:eastAsia="宋体" w:cs="宋体"/>
      <w:color w:val="000000"/>
      <w:sz w:val="20"/>
      <w:szCs w:val="20"/>
      <w:u w:val="none"/>
    </w:rPr>
  </w:style>
  <w:style w:type="character" w:customStyle="1" w:styleId="53">
    <w:name w:val="font71"/>
    <w:basedOn w:val="17"/>
    <w:qFormat/>
    <w:uiPriority w:val="0"/>
    <w:rPr>
      <w:rFonts w:hint="eastAsia" w:ascii="宋体" w:hAnsi="宋体" w:eastAsia="宋体" w:cs="宋体"/>
      <w:b/>
      <w:color w:val="000000"/>
      <w:sz w:val="32"/>
      <w:szCs w:val="32"/>
      <w:u w:val="none"/>
    </w:rPr>
  </w:style>
  <w:style w:type="character" w:customStyle="1" w:styleId="54">
    <w:name w:val="font41"/>
    <w:basedOn w:val="17"/>
    <w:qFormat/>
    <w:uiPriority w:val="0"/>
    <w:rPr>
      <w:rFonts w:hint="eastAsia" w:ascii="宋体" w:hAnsi="宋体" w:eastAsia="宋体" w:cs="宋体"/>
      <w:color w:val="000000"/>
      <w:sz w:val="20"/>
      <w:szCs w:val="20"/>
      <w:u w:val="none"/>
    </w:rPr>
  </w:style>
  <w:style w:type="character" w:customStyle="1" w:styleId="55">
    <w:name w:val="font01"/>
    <w:basedOn w:val="17"/>
    <w:qFormat/>
    <w:uiPriority w:val="0"/>
    <w:rPr>
      <w:rFonts w:hint="eastAsia" w:ascii="宋体" w:hAnsi="宋体" w:eastAsia="宋体" w:cs="宋体"/>
      <w:color w:val="000000"/>
      <w:sz w:val="20"/>
      <w:szCs w:val="20"/>
      <w:u w:val="none"/>
    </w:rPr>
  </w:style>
  <w:style w:type="character" w:customStyle="1" w:styleId="56">
    <w:name w:val="font31"/>
    <w:basedOn w:val="17"/>
    <w:qFormat/>
    <w:uiPriority w:val="0"/>
    <w:rPr>
      <w:rFonts w:hint="eastAsia" w:ascii="宋体" w:hAnsi="宋体" w:eastAsia="宋体" w:cs="宋体"/>
      <w:color w:val="000000"/>
      <w:sz w:val="18"/>
      <w:szCs w:val="18"/>
      <w:u w:val="none"/>
    </w:rPr>
  </w:style>
  <w:style w:type="character" w:customStyle="1" w:styleId="57">
    <w:name w:val="font112"/>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3961</Words>
  <Characters>4331</Characters>
  <Paragraphs>333</Paragraphs>
  <TotalTime>5</TotalTime>
  <ScaleCrop>false</ScaleCrop>
  <LinksUpToDate>false</LinksUpToDate>
  <CharactersWithSpaces>4365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冰</cp:lastModifiedBy>
  <cp:lastPrinted>2020-01-18T08:25:00Z</cp:lastPrinted>
  <dcterms:modified xsi:type="dcterms:W3CDTF">2020-05-04T06:00:30Z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