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新疆喀什地区麦盖提县自然资源局2019年度部门决算公开说明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按照上级林业主管部门的安排，配合林业调查设计单位开展森林资源调查，负责造林检查验收、林业统计和森林资源档案管理，掌握本站辖区的森林资源消长变化情况；协助有关部门调查处理林地、林木纠纷，查处毁林案件，维护森林资源安全，负责组织本乡镇病虫鼠害的防治工作；传播推广林业科学技术，总结推广林业生产先进经验，开展林业技术培训、技术咨询和技术服务；按照国家有关规定，协助上级主管部门管好、用好各项林业资金；承办上级主管部门交办的其他事项,同时承担全县万亩防风固沙生态林建设基地的造林及日常管护任务。</w:t>
      </w:r>
    </w:p>
    <w:p>
      <w:pPr>
        <w:ind w:firstLine="480"/>
        <w:jc w:val="both"/>
      </w:pPr>
      <w:r>
        <w:rPr>
          <w:rFonts w:ascii="仿宋_GB2312" w:hAnsi="仿宋_GB2312" w:eastAsia="仿宋_GB2312" w:cs="仿宋_GB2312"/>
          <w:b w:val="0"/>
          <w:sz w:val="32"/>
        </w:rPr>
        <w:t>2、贯彻执行国家国土资源管理工作的方针政策和法律法规，研究制定麦盖提县土地管理规划和措施。土地的征用、划拨、出让工作，按照规定权限和程序承办建设用地的审核、报批工作，负责土地使用权出让的组织、协调、审查、报批和出让方案的落实。实施国有土地有偿使用制度，管理规范土地市场；负责土地使用权转让、出租、抵押等的权属管理和监督检查。负责矿产资源开发的监督管理，协调处理采矿权属纠纷，采矿登记管理许可证制度，征收、管理矿产资源补偿费。征地补偿是指房屋征收部门自身或者委托房屋征收实施单位依照我国集体土地和国有土地房屋拆迁补偿标准的规定，在征收国家集体土地上单位、个人的房屋时，对被征收房屋所有权人（以下称被征收人）给予公平补偿。</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新疆喀什地区麦盖提县自然资源局2019年度，实有人数71人，其中：在职人员71人，离休人员0人，退休人员0人。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从部门决算单位构成看，新疆喀什地区麦盖提县自然资源局部门决算包括：新疆喀什地区麦盖提县自然资源局决算。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9,689.16万元，与上年相比，增加8,725.08万元，增长905.02%，主要原因是：机构改革，林业局与国土局合并，人员增加，项目合并。本年支出21,580.92万元，与上年相比，增加20,752.33万元，增长2504.54%，主要原因是：机构改革，林业局与国土局合并，人员增加，项目合并。</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2019年度本年收入9,689.16万元，其中：财政拨款收入8,869.67万元，占91.54%；上级补助收入0万元，占0%；事业收入0万元，占0%；经营收入0万元，占0%；附属单位上缴收入0万元，占0%；其他收入819.49万元，占8.46%。</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2019年度本年支出21,580.92万元，其中：基本支出843.13万元，占3.91%；项目支出20,737.80万元，占96.09%；上缴上级支出0万元，占0%；经营支出0万元，占0%；对附属单位补助支出0万元，占0%。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8,869.67万元，与上年相比，增加7,905.59万元，增长820.01%，主要原因是：机构改革，林业局与国土局合并，人员增加，项目合并。财政拨款支出20,761.43万元，与上年相比，增加19,932.84万元，增长2405.63%，主要原因是：机构改革，林业局与国土局合并，人员增加，项目合并。</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1,136.24万元，决算数8,869.67万元，预决算差异率680.62%，主要原因是：年初预算无法预计年中到达的部分专项资金，待资金实际到达后，通过预算追加的方式下达单位，因此决算数大于预算数。财政拨款支出年初预算数1,136.24万元，决算数20,761.43万元，预决算差异率1727.2%，主要原因是：年初预算无法预计年中到达的部分专项资金，待资金实际到达后，通过预算追加的方式下达单位，因此决算数大于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2019年度一般公共预算财政拨款支出20,271.48万元。按功能分类科目项级科目公开，其中：</w:t>
      </w:r>
    </w:p>
    <w:p>
      <w:pPr>
        <w:ind w:firstLine="480"/>
        <w:jc w:val="both"/>
      </w:pPr>
      <w:r>
        <w:rPr>
          <w:rFonts w:ascii="仿宋_GB2312" w:hAnsi="仿宋_GB2312" w:eastAsia="仿宋_GB2312" w:cs="仿宋_GB2312"/>
          <w:b w:val="0"/>
          <w:sz w:val="32"/>
        </w:rPr>
        <w:t xml:space="preserve">   2060203自然科学基金支出8万元；</w:t>
      </w:r>
    </w:p>
    <w:p>
      <w:pPr>
        <w:ind w:firstLine="480"/>
        <w:jc w:val="both"/>
      </w:pPr>
      <w:r>
        <w:rPr>
          <w:rFonts w:ascii="仿宋_GB2312" w:hAnsi="仿宋_GB2312" w:eastAsia="仿宋_GB2312" w:cs="仿宋_GB2312"/>
          <w:b w:val="0"/>
          <w:sz w:val="32"/>
        </w:rPr>
        <w:t xml:space="preserve">   2080505机关事业单位基本养老保险缴费支出86.61万元；</w:t>
      </w:r>
    </w:p>
    <w:p>
      <w:pPr>
        <w:ind w:firstLine="480"/>
        <w:jc w:val="both"/>
      </w:pPr>
      <w:r>
        <w:rPr>
          <w:rFonts w:ascii="仿宋_GB2312" w:hAnsi="仿宋_GB2312" w:eastAsia="仿宋_GB2312" w:cs="仿宋_GB2312"/>
          <w:b w:val="0"/>
          <w:sz w:val="32"/>
        </w:rPr>
        <w:t xml:space="preserve">   2110499其他自然生态保护支出251.12万元；</w:t>
      </w:r>
    </w:p>
    <w:p>
      <w:pPr>
        <w:ind w:firstLine="480"/>
        <w:jc w:val="both"/>
      </w:pPr>
      <w:r>
        <w:rPr>
          <w:rFonts w:ascii="仿宋_GB2312" w:hAnsi="仿宋_GB2312" w:eastAsia="仿宋_GB2312" w:cs="仿宋_GB2312"/>
          <w:b w:val="0"/>
          <w:sz w:val="32"/>
        </w:rPr>
        <w:t xml:space="preserve">   2110602退耕现金支出6,477.93万元；</w:t>
      </w:r>
    </w:p>
    <w:p>
      <w:pPr>
        <w:ind w:firstLine="480"/>
        <w:jc w:val="both"/>
      </w:pPr>
      <w:r>
        <w:rPr>
          <w:rFonts w:ascii="仿宋_GB2312" w:hAnsi="仿宋_GB2312" w:eastAsia="仿宋_GB2312" w:cs="仿宋_GB2312"/>
          <w:b w:val="0"/>
          <w:sz w:val="32"/>
        </w:rPr>
        <w:t xml:space="preserve">   2110699其他退耕还林支出900万元；</w:t>
      </w:r>
    </w:p>
    <w:p>
      <w:pPr>
        <w:ind w:firstLine="480"/>
        <w:jc w:val="both"/>
      </w:pPr>
      <w:r>
        <w:rPr>
          <w:rFonts w:ascii="仿宋_GB2312" w:hAnsi="仿宋_GB2312" w:eastAsia="仿宋_GB2312" w:cs="仿宋_GB2312"/>
          <w:b w:val="0"/>
          <w:sz w:val="32"/>
        </w:rPr>
        <w:t xml:space="preserve">   2110799其他风沙荒漠治理支出454.67万元；</w:t>
      </w:r>
    </w:p>
    <w:p>
      <w:pPr>
        <w:ind w:firstLine="480"/>
        <w:jc w:val="both"/>
      </w:pPr>
      <w:r>
        <w:rPr>
          <w:rFonts w:ascii="仿宋_GB2312" w:hAnsi="仿宋_GB2312" w:eastAsia="仿宋_GB2312" w:cs="仿宋_GB2312"/>
          <w:b w:val="0"/>
          <w:sz w:val="32"/>
        </w:rPr>
        <w:t xml:space="preserve">   2119901其他节能环保支出2,000万元；</w:t>
      </w:r>
    </w:p>
    <w:p>
      <w:pPr>
        <w:ind w:firstLine="480"/>
        <w:jc w:val="both"/>
      </w:pPr>
      <w:r>
        <w:rPr>
          <w:rFonts w:ascii="仿宋_GB2312" w:hAnsi="仿宋_GB2312" w:eastAsia="仿宋_GB2312" w:cs="仿宋_GB2312"/>
          <w:b w:val="0"/>
          <w:sz w:val="32"/>
        </w:rPr>
        <w:t xml:space="preserve">   2130119防灾救灾支出4.92万元；</w:t>
      </w:r>
    </w:p>
    <w:p>
      <w:pPr>
        <w:ind w:firstLine="480"/>
        <w:jc w:val="both"/>
      </w:pPr>
      <w:r>
        <w:rPr>
          <w:rFonts w:ascii="仿宋_GB2312" w:hAnsi="仿宋_GB2312" w:eastAsia="仿宋_GB2312" w:cs="仿宋_GB2312"/>
          <w:b w:val="0"/>
          <w:sz w:val="32"/>
        </w:rPr>
        <w:t xml:space="preserve">   2130199其他农业支出79万元；</w:t>
      </w:r>
    </w:p>
    <w:p>
      <w:pPr>
        <w:ind w:firstLine="480"/>
        <w:jc w:val="both"/>
      </w:pPr>
      <w:r>
        <w:rPr>
          <w:rFonts w:ascii="仿宋_GB2312" w:hAnsi="仿宋_GB2312" w:eastAsia="仿宋_GB2312" w:cs="仿宋_GB2312"/>
          <w:b w:val="0"/>
          <w:sz w:val="32"/>
        </w:rPr>
        <w:t xml:space="preserve">   2130201行政运行支出170.21万元；</w:t>
      </w:r>
    </w:p>
    <w:p>
      <w:pPr>
        <w:ind w:firstLine="480"/>
        <w:jc w:val="both"/>
      </w:pPr>
      <w:r>
        <w:rPr>
          <w:rFonts w:ascii="仿宋_GB2312" w:hAnsi="仿宋_GB2312" w:eastAsia="仿宋_GB2312" w:cs="仿宋_GB2312"/>
          <w:b w:val="0"/>
          <w:sz w:val="32"/>
        </w:rPr>
        <w:t xml:space="preserve">   2130204事业机构支出98.85万元；</w:t>
      </w:r>
    </w:p>
    <w:p>
      <w:pPr>
        <w:ind w:firstLine="480"/>
        <w:jc w:val="both"/>
      </w:pPr>
      <w:r>
        <w:rPr>
          <w:rFonts w:ascii="仿宋_GB2312" w:hAnsi="仿宋_GB2312" w:eastAsia="仿宋_GB2312" w:cs="仿宋_GB2312"/>
          <w:b w:val="0"/>
          <w:sz w:val="32"/>
        </w:rPr>
        <w:t xml:space="preserve">   2130205森林培育支出6,711.86万元；</w:t>
      </w:r>
    </w:p>
    <w:p>
      <w:pPr>
        <w:ind w:firstLine="480"/>
        <w:jc w:val="both"/>
      </w:pPr>
      <w:r>
        <w:rPr>
          <w:rFonts w:ascii="仿宋_GB2312" w:hAnsi="仿宋_GB2312" w:eastAsia="仿宋_GB2312" w:cs="仿宋_GB2312"/>
          <w:b w:val="0"/>
          <w:sz w:val="32"/>
        </w:rPr>
        <w:t xml:space="preserve">   2130206技术推广与转化支出0万元；</w:t>
      </w:r>
    </w:p>
    <w:p>
      <w:pPr>
        <w:ind w:firstLine="480"/>
        <w:jc w:val="both"/>
      </w:pPr>
      <w:r>
        <w:rPr>
          <w:rFonts w:ascii="仿宋_GB2312" w:hAnsi="仿宋_GB2312" w:eastAsia="仿宋_GB2312" w:cs="仿宋_GB2312"/>
          <w:b w:val="0"/>
          <w:sz w:val="32"/>
        </w:rPr>
        <w:t xml:space="preserve">   2130209森林生态效益补偿支出550.18万元；</w:t>
      </w:r>
    </w:p>
    <w:p>
      <w:pPr>
        <w:ind w:firstLine="480"/>
        <w:jc w:val="both"/>
      </w:pPr>
      <w:r>
        <w:rPr>
          <w:rFonts w:ascii="仿宋_GB2312" w:hAnsi="仿宋_GB2312" w:eastAsia="仿宋_GB2312" w:cs="仿宋_GB2312"/>
          <w:b w:val="0"/>
          <w:sz w:val="32"/>
        </w:rPr>
        <w:t xml:space="preserve">   2130212湿地保护支出89.12万元；</w:t>
      </w:r>
    </w:p>
    <w:p>
      <w:pPr>
        <w:ind w:firstLine="480"/>
        <w:jc w:val="both"/>
      </w:pPr>
      <w:r>
        <w:rPr>
          <w:rFonts w:ascii="仿宋_GB2312" w:hAnsi="仿宋_GB2312" w:eastAsia="仿宋_GB2312" w:cs="仿宋_GB2312"/>
          <w:b w:val="0"/>
          <w:sz w:val="32"/>
        </w:rPr>
        <w:t xml:space="preserve">   2130217防沙治沙支出0万元；</w:t>
      </w:r>
    </w:p>
    <w:p>
      <w:pPr>
        <w:ind w:firstLine="480"/>
        <w:jc w:val="both"/>
      </w:pPr>
      <w:r>
        <w:rPr>
          <w:rFonts w:ascii="仿宋_GB2312" w:hAnsi="仿宋_GB2312" w:eastAsia="仿宋_GB2312" w:cs="仿宋_GB2312"/>
          <w:b w:val="0"/>
          <w:sz w:val="32"/>
        </w:rPr>
        <w:t xml:space="preserve">   2130234防灾减灾支出20万元；</w:t>
      </w:r>
    </w:p>
    <w:p>
      <w:pPr>
        <w:ind w:firstLine="480"/>
        <w:jc w:val="both"/>
      </w:pPr>
      <w:r>
        <w:rPr>
          <w:rFonts w:ascii="仿宋_GB2312" w:hAnsi="仿宋_GB2312" w:eastAsia="仿宋_GB2312" w:cs="仿宋_GB2312"/>
          <w:b w:val="0"/>
          <w:sz w:val="32"/>
        </w:rPr>
        <w:t xml:space="preserve">   2130299其他林业和草原支出519.56万元；</w:t>
      </w:r>
    </w:p>
    <w:p>
      <w:pPr>
        <w:ind w:firstLine="480"/>
        <w:jc w:val="both"/>
      </w:pPr>
      <w:r>
        <w:rPr>
          <w:rFonts w:ascii="仿宋_GB2312" w:hAnsi="仿宋_GB2312" w:eastAsia="仿宋_GB2312" w:cs="仿宋_GB2312"/>
          <w:b w:val="0"/>
          <w:sz w:val="32"/>
        </w:rPr>
        <w:t xml:space="preserve">   2139999其他农林水支出156.84万元；</w:t>
      </w:r>
    </w:p>
    <w:p>
      <w:pPr>
        <w:ind w:firstLine="480"/>
        <w:jc w:val="both"/>
      </w:pPr>
      <w:r>
        <w:rPr>
          <w:rFonts w:ascii="仿宋_GB2312" w:hAnsi="仿宋_GB2312" w:eastAsia="仿宋_GB2312" w:cs="仿宋_GB2312"/>
          <w:b w:val="0"/>
          <w:sz w:val="32"/>
        </w:rPr>
        <w:t xml:space="preserve">   2140602车辆购置税用于农村公路建设支出271.70万元；</w:t>
      </w:r>
    </w:p>
    <w:p>
      <w:pPr>
        <w:ind w:firstLine="480"/>
        <w:jc w:val="both"/>
      </w:pPr>
      <w:r>
        <w:rPr>
          <w:rFonts w:ascii="仿宋_GB2312" w:hAnsi="仿宋_GB2312" w:eastAsia="仿宋_GB2312" w:cs="仿宋_GB2312"/>
          <w:b w:val="0"/>
          <w:sz w:val="32"/>
        </w:rPr>
        <w:t xml:space="preserve">   2200101行政运行支出423.06万元；</w:t>
      </w:r>
    </w:p>
    <w:p>
      <w:pPr>
        <w:ind w:firstLine="480"/>
        <w:jc w:val="both"/>
      </w:pPr>
      <w:r>
        <w:rPr>
          <w:rFonts w:ascii="仿宋_GB2312" w:hAnsi="仿宋_GB2312" w:eastAsia="仿宋_GB2312" w:cs="仿宋_GB2312"/>
          <w:b w:val="0"/>
          <w:sz w:val="32"/>
        </w:rPr>
        <w:t xml:space="preserve">   2200102一般行政管理事务支出75万元；</w:t>
      </w:r>
    </w:p>
    <w:p>
      <w:pPr>
        <w:ind w:firstLine="480"/>
        <w:jc w:val="both"/>
      </w:pPr>
      <w:r>
        <w:rPr>
          <w:rFonts w:ascii="仿宋_GB2312" w:hAnsi="仿宋_GB2312" w:eastAsia="仿宋_GB2312" w:cs="仿宋_GB2312"/>
          <w:b w:val="0"/>
          <w:sz w:val="32"/>
        </w:rPr>
        <w:t xml:space="preserve">   2200105土地资源调查支出59万元；</w:t>
      </w:r>
    </w:p>
    <w:p>
      <w:pPr>
        <w:ind w:firstLine="480"/>
        <w:jc w:val="both"/>
      </w:pPr>
      <w:r>
        <w:rPr>
          <w:rFonts w:ascii="仿宋_GB2312" w:hAnsi="仿宋_GB2312" w:eastAsia="仿宋_GB2312" w:cs="仿宋_GB2312"/>
          <w:b w:val="0"/>
          <w:sz w:val="32"/>
        </w:rPr>
        <w:t xml:space="preserve">   2200109自然资源调查支出229.75万元；</w:t>
      </w:r>
    </w:p>
    <w:p>
      <w:pPr>
        <w:ind w:firstLine="480"/>
        <w:jc w:val="both"/>
      </w:pPr>
      <w:r>
        <w:rPr>
          <w:rFonts w:ascii="仿宋_GB2312" w:hAnsi="仿宋_GB2312" w:eastAsia="仿宋_GB2312" w:cs="仿宋_GB2312"/>
          <w:b w:val="0"/>
          <w:sz w:val="32"/>
        </w:rPr>
        <w:t xml:space="preserve">   2210201住房公积金支出64.40万元；</w:t>
      </w:r>
    </w:p>
    <w:p>
      <w:pPr>
        <w:ind w:firstLine="480"/>
        <w:jc w:val="both"/>
      </w:pPr>
      <w:r>
        <w:rPr>
          <w:rFonts w:ascii="仿宋_GB2312" w:hAnsi="仿宋_GB2312" w:eastAsia="仿宋_GB2312" w:cs="仿宋_GB2312"/>
          <w:b w:val="0"/>
          <w:sz w:val="32"/>
        </w:rPr>
        <w:t xml:space="preserve">   2220199其他粮油事务支出569.71万元。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2019年度一般公共预算财政拨款基本支出843.13万元，其中：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832.41万元，包括：基本工资、津贴补贴、奖金、绩效工资、机关事业单位基本养老保险缴费、职工基本医疗保险缴费、公务员医疗补助缴费、其他社会保障缴费、住房公积金、其他工资福利支出、退休费、抚恤金、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公用经费10.71万元，包括：办公费、邮电费、取暖费、差旅费、公务用车运行维护费。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2019年度一般公共预算“三公”经费支出决算5.19万元，比上年增加4.16万元，增长403.88%，主要原因是机构合并，人员增加，业务</w:t>
      </w:r>
      <w:r>
        <w:rPr>
          <w:rFonts w:hint="eastAsia" w:ascii="仿宋_GB2312" w:hAnsi="仿宋_GB2312" w:eastAsia="仿宋_GB2312" w:cs="仿宋_GB2312"/>
          <w:sz w:val="32"/>
          <w:lang w:val="en-US" w:eastAsia="zh-CN"/>
        </w:rPr>
        <w:t>量</w:t>
      </w:r>
      <w:r>
        <w:rPr>
          <w:rFonts w:ascii="仿宋_GB2312" w:hAnsi="仿宋_GB2312" w:eastAsia="仿宋_GB2312" w:cs="仿宋_GB2312"/>
          <w:sz w:val="32"/>
        </w:rPr>
        <w:t>增加，相应“三公”</w:t>
      </w:r>
      <w:r>
        <w:rPr>
          <w:rFonts w:hint="eastAsia" w:ascii="仿宋_GB2312" w:hAnsi="仿宋_GB2312" w:eastAsia="仿宋_GB2312" w:cs="仿宋_GB2312"/>
          <w:sz w:val="32"/>
          <w:lang w:val="en-US" w:eastAsia="zh-CN"/>
        </w:rPr>
        <w:t>经费</w:t>
      </w:r>
      <w:r>
        <w:rPr>
          <w:rFonts w:ascii="仿宋_GB2312" w:hAnsi="仿宋_GB2312" w:eastAsia="仿宋_GB2312" w:cs="仿宋_GB2312"/>
          <w:sz w:val="32"/>
        </w:rPr>
        <w:t>开支较去年增加。其中，因公出国（境）费支出0万元，占0%，比上年增加0万元，增长0%，主要原因是与上年相比无变动，与上年一致；公务用车购置及运行维护费支出5.19万元，占100%，比上年增加4.16万元，增长403.88%，主要原因是机构合并，人员增加，业务</w:t>
      </w:r>
      <w:r>
        <w:rPr>
          <w:rFonts w:hint="eastAsia" w:ascii="仿宋_GB2312" w:hAnsi="仿宋_GB2312" w:eastAsia="仿宋_GB2312" w:cs="仿宋_GB2312"/>
          <w:sz w:val="32"/>
          <w:lang w:val="en-US" w:eastAsia="zh-CN"/>
        </w:rPr>
        <w:t>量</w:t>
      </w:r>
      <w:r>
        <w:rPr>
          <w:rFonts w:ascii="仿宋_GB2312" w:hAnsi="仿宋_GB2312" w:eastAsia="仿宋_GB2312" w:cs="仿宋_GB2312"/>
          <w:sz w:val="32"/>
        </w:rPr>
        <w:t>增加，相应“三公”</w:t>
      </w:r>
      <w:r>
        <w:rPr>
          <w:rFonts w:hint="eastAsia" w:ascii="仿宋_GB2312" w:hAnsi="仿宋_GB2312" w:eastAsia="仿宋_GB2312" w:cs="仿宋_GB2312"/>
          <w:sz w:val="32"/>
          <w:lang w:val="en-US" w:eastAsia="zh-CN"/>
        </w:rPr>
        <w:t>经费</w:t>
      </w:r>
      <w:bookmarkStart w:id="54" w:name="_GoBack"/>
      <w:r>
        <w:rPr>
          <w:rFonts w:ascii="仿宋_GB2312" w:hAnsi="仿宋_GB2312" w:eastAsia="仿宋_GB2312" w:cs="仿宋_GB2312"/>
          <w:sz w:val="32"/>
        </w:rPr>
        <w:t>开</w:t>
      </w:r>
      <w:bookmarkEnd w:id="54"/>
      <w:r>
        <w:rPr>
          <w:rFonts w:ascii="仿宋_GB2312" w:hAnsi="仿宋_GB2312" w:eastAsia="仿宋_GB2312" w:cs="仿宋_GB2312"/>
          <w:sz w:val="32"/>
        </w:rPr>
        <w:t>支较去年增加；公务接待费支出0万元，占0%，比上年增加0万元，增长0%，主要原因是与上年相比无变动，与上年一致。具体情况如下：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公务用车购置及运行维护费5.19万元，其中，公务用车购置费0万元，公务用车运行维护费5.19万元。公务用车运行维护费开支内容包括燃油费、维修费、保险费。公务用车购置数0辆，公务用车保有量8辆。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10.80万元，决算数5.19万元，预决算差异率-51.94%，主要原因是：厉行节约，压缩“三公”经费开支，实际产生的“三公”经费小于年初预算。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10.80万元，决算数5.19万元，预决算差异率-51.94%，主要原因是：厉行节约，压缩“三公”经费开支，实际产生的“三公”经费小于年初预算；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2019年度政府性基金预算财政拨款收入489.95万元，与上年相比，增加54.32万元，增长12.47%，主要原因是：财政专项资金较去年增加。政府性基金预算支出489.95万元，与上年相比，增加54.32万元，增长12.47%，主要原因是：财政专项资金较去年增加。</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2019年度新疆喀什地区麦盖提县自然资源局机关运行经费支出10.71万元，比上年减少1.55万元，降低12.64%，主要原因是厉行节约，压减一切不必要开支。</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2019年度政府采购支出总额3,636.19万元，其中：政府采购货物支出2,922.29万元、政府采购工程支出95.76万元、政府采购服务支出618.14万元。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授予中小企业合同金额618.14万元，占政府采购支出总额的17%，其中：授予小微企业合同金额618.14万元，占政府采购支出总额的17%。</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3,839.70（平方米），价值365.36万元。车辆8辆，价值141.74万元，其中：副部（省）级及以上领导用车0辆、主要领导干部用车0辆、机要通信用车0辆、应急保障用车0辆、执法执勤用车2辆、特种专业技术用车1辆、离退休干部用车0辆、其他用车5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7个，共涉及资金9,024.04万元。预算绩效管理取得的成效：1、林果业提质增效项目：改善麦盖提县9个乡镇共104个贫困村，3089户建档立卡贫困户，36809.14亩林果体质的增效。实施果树整形修剪、田间管理等林果业体质增效的工作，户均补助500元/亩，使果园亩均产量增加10%以上，助力本县脱贫攻坚。2、饲草料地建设项目：有效推进农业产业结构调整，解决一直制约我县畜牧业草畜不平衡的矛盾，进一步提高贫困人口的收入，帮助贫困户脱贫致富。3、2万亩梭梭-肉苁蓉基地建设项目：可为全县13898户贫困户每户分红215.86元，充分发挥林业扶贫的资源优势和区位发展潜力，完善并完成防风固沙生态林建设标准化体系建设，大力实施林业“五个一批”精准扶贫战略。4、贫困县生态环境保护及民生支出配套项目：利用生态补偿和生态保护工程资金聘用当地有劳动能力的贫困人口991人作为生态护林员，开展森林日常管护工作，保护森林资源、维护森林安全，有效提高全县森林资源总量和森林覆盖率，加快推进生态文明建设，助力脱贫攻坚。5、2019年中央财政林业生态保护恢复资金：通过落实草原生态修复治理政策，全面推行草畜平衡制度，促进草原生态环境稳步恢复，改善草原质量，提升绿色畜产品生产供应水平，不断拓宽牧民增收渠道，稳步提高牧民增收水平，为加快建设生态文明，全面建成小康社会、维护民族团结和边疆安定作出积极贡献。6、林业生态保护恢复资金：完成2019年完善退耕还林资金发放，2002-2006年退耕还林2316.5亩，每亩90元补助，共计20.8485万元，完成2019年退耕还林3.5万亩，每亩900元补助。共计3150万元。完成2015年3.4万亩退耕还林第三批400元补助资金1360万元，2017年9.6万亩第二批每亩300元补助资金2880万元，2019年退耕还草1.5万亩共计900万元，草原生态修复治理53万元。7、2019年重点防护林项目：已按要求全面完成造林任务1万亩。发现的问题及原因：1、饲草料地建设项目：由于麦盖提县处于塔克拉玛干沙漠边缘，自然环境恶劣，严重影响当地群众农业、林业及畜牧业发展，生态环境十分脆弱，水源缺乏，苗木种植成本高，后期管护难度较大。2、2万亩梭梭-肉苁蓉基地建设项目：由于麦盖提县处于塔克拉玛干沙漠边缘，自然环境恶劣，严重影响当地群众农业、林业及畜牧业发展，生态环境十分脆弱，造林成本高，后期管护难度大。3、2019年中央财政林业生态保护恢复资金：由于项目资金为后续调整下达，于11月份资金下达，此时间节点不利于实施草原有害生物防治的实施。4、2019年重点防护林项目：退化林修复10000亩目前正在编制实施方案，由于地块较散，调查人员缺乏，前期调查工作困难。下一步将积极做好项目实施前期准备，计划2020年实施完毕。下一步改进措施：一是加强组织领导，实行分工负责。并定期召开协调会、推进会，协调解决实际困难；二是切实做到项目资金专款专用，专人负责。规范项目资金管理，促进了项目顺利实施，做到了手续完备、专账管理、专人负责、账目清楚。三是申请上级加大苗木补助费用，增加后期管护经费。四是项目资料有待进一步完善；项目启动时同步做好档案的归纳与整理，及时整理、收集、汇总，健全档案资料。做好后期苗木管护抚育工作。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C27438F"/>
    <w:rsid w:val="0FD94CEC"/>
    <w:rsid w:val="110331C8"/>
    <w:rsid w:val="13690556"/>
    <w:rsid w:val="1DAF458D"/>
    <w:rsid w:val="212C715E"/>
    <w:rsid w:val="221406EA"/>
    <w:rsid w:val="2A053397"/>
    <w:rsid w:val="2D1136DF"/>
    <w:rsid w:val="31C63837"/>
    <w:rsid w:val="3D5275AC"/>
    <w:rsid w:val="3F1C5B76"/>
    <w:rsid w:val="46901EEE"/>
    <w:rsid w:val="469C74D2"/>
    <w:rsid w:val="50DB5F45"/>
    <w:rsid w:val="567E6334"/>
    <w:rsid w:val="59791A79"/>
    <w:rsid w:val="66661D31"/>
    <w:rsid w:val="69AD798C"/>
    <w:rsid w:val="6B68175F"/>
    <w:rsid w:val="73FB6630"/>
    <w:rsid w:val="77ED6F44"/>
    <w:rsid w:val="7CE6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17</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2020-11-20T08:40:30Z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