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outlineLvl w:val="0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喀什地区麦盖提县扶贫项目资金支出</w:t>
      </w:r>
    </w:p>
    <w:p>
      <w:pPr>
        <w:spacing w:line="540" w:lineRule="exact"/>
        <w:jc w:val="center"/>
        <w:outlineLvl w:val="0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（2019年度）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项目名称：煤改电入户工程项目</w:t>
      </w:r>
    </w:p>
    <w:p>
      <w:pPr>
        <w:spacing w:line="700" w:lineRule="exact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实施单位（公章）：麦盖提县住房和城乡建设局本级</w:t>
      </w:r>
    </w:p>
    <w:p>
      <w:pPr>
        <w:spacing w:line="700" w:lineRule="exact"/>
        <w:ind w:firstLine="755" w:firstLineChars="236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主管部门（公章）：麦盖提县住房和城乡建设局</w:t>
      </w:r>
    </w:p>
    <w:p>
      <w:pPr>
        <w:spacing w:line="700" w:lineRule="exact"/>
        <w:ind w:firstLine="755" w:firstLineChars="236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项目负责人（签章）：王博文</w:t>
      </w:r>
    </w:p>
    <w:p>
      <w:pPr>
        <w:spacing w:line="700" w:lineRule="exact"/>
        <w:ind w:firstLine="755" w:firstLineChars="236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填报时间：2019年12月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spacing w:line="540" w:lineRule="exact"/>
        <w:jc w:val="center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麦盖提县住房和城乡建设局单位性质为行政单位全额拨款，执行会计制度为行政会计制度。独立编制机构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个，独立编制机构与上年无变动</w:t>
      </w:r>
      <w:r>
        <w:rPr>
          <w:rFonts w:hint="eastAsia" w:ascii="仿宋" w:hAnsi="仿宋" w:eastAsia="仿宋" w:cs="??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1.单位职能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担保障城镇低收入家庭住房的责任；承担推进住房制度改革的责任；承担规范住房和城乡建设管理秩序的责任；承担建立科学规范的住房和城乡建设标准体系的责任；承担规范房地产市场秩序、监督管理房地产市场的责任；监督管理全县建筑市场，规范各方主体行为；拟订城市建设的政策、规划并指导实施；负责市政公用事业特许经营、供水、供气、供热和市容环境卫生、园林绿化法律法规规章执行的监督指导；指导城市市政公用设施建设、安全和应急管理；拟订全县风景名胜区的发展规划、政策并指导实施，负责风景名胜区的审查报批和监督管理工作；承担规范和指导全县村镇建设的责任；承担建筑工程质量安全监管的责任；综合管理城乡建设抗震减灾工作；承担推进建筑节能减排的责任；承办县委、政府交办的其他事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2、单位人员情况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编制85人，实有在职人数68人，退休16人，其他人员179人，遗属补助人员2人，属于一般公共预算财政拨款（补助）开支265人，其中：在职68人，退休16人，遗属补助2人，其他人员179人。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lang w:val="en-US" w:eastAsia="zh-CN"/>
        </w:rPr>
        <w:t>(二)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项目简介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1.麦盖提县全县7个乡镇14691户农民的供暖煤改电工程，每户工程成本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0.38万</w:t>
      </w:r>
      <w:r>
        <w:rPr>
          <w:rFonts w:hint="eastAsia" w:ascii="仿宋" w:hAnsi="仿宋" w:eastAsia="仿宋"/>
          <w:sz w:val="32"/>
          <w:szCs w:val="32"/>
        </w:rPr>
        <w:t>元，每户财政资金补助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0.285万</w:t>
      </w:r>
      <w:r>
        <w:rPr>
          <w:rFonts w:hint="eastAsia" w:ascii="仿宋" w:hAnsi="仿宋" w:eastAsia="仿宋"/>
          <w:sz w:val="32"/>
          <w:szCs w:val="32"/>
        </w:rPr>
        <w:t>元，一般户每户自筹资金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0.095万</w:t>
      </w:r>
      <w:r>
        <w:rPr>
          <w:rFonts w:hint="eastAsia" w:ascii="仿宋" w:hAnsi="仿宋" w:eastAsia="仿宋"/>
          <w:sz w:val="32"/>
          <w:szCs w:val="32"/>
        </w:rPr>
        <w:t>元，贫困户扶贫资金补助每户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0.095</w:t>
      </w:r>
      <w:r>
        <w:rPr>
          <w:rFonts w:hint="eastAsia" w:ascii="仿宋" w:hAnsi="仿宋" w:eastAsia="仿宋"/>
          <w:sz w:val="32"/>
          <w:szCs w:val="32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2.我县推进“煤改电”入户工程，进一步调整优化城乡供热能源结构，减少燃料污染，推动农村居民生活品质大幅度提升，保障农户最基本的供暖需求。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(三）项目预算绩效目标设定情况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1.项目预期目标及阶段性目标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(1)麦盖提县全县7个乡镇14691户农民的供暖煤改电工程，每户工程成本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0.38万</w:t>
      </w:r>
      <w:r>
        <w:rPr>
          <w:rFonts w:hint="eastAsia" w:ascii="仿宋" w:hAnsi="仿宋" w:eastAsia="仿宋"/>
          <w:sz w:val="32"/>
          <w:szCs w:val="32"/>
        </w:rPr>
        <w:t>元，每户财政资金补助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0.285万</w:t>
      </w:r>
      <w:r>
        <w:rPr>
          <w:rFonts w:hint="eastAsia" w:ascii="仿宋" w:hAnsi="仿宋" w:eastAsia="仿宋"/>
          <w:sz w:val="32"/>
          <w:szCs w:val="32"/>
        </w:rPr>
        <w:t>元，一般户每户自筹资金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0.095万</w:t>
      </w:r>
      <w:r>
        <w:rPr>
          <w:rFonts w:hint="eastAsia" w:ascii="仿宋" w:hAnsi="仿宋" w:eastAsia="仿宋"/>
          <w:sz w:val="32"/>
          <w:szCs w:val="32"/>
        </w:rPr>
        <w:t>元，贫困户扶贫资金补助每户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0.095万</w:t>
      </w:r>
      <w:r>
        <w:rPr>
          <w:rFonts w:hint="eastAsia" w:ascii="仿宋" w:hAnsi="仿宋" w:eastAsia="仿宋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（2）我县推进“煤改电”入户工程，进一步调整优化城乡供热能源结构，减少燃料污染，推动农村居民生活品质大幅度提升，保障农户最基本的供暖需求。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2.项目基本性质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本项目属于扶贫项目，且为长期性项目，主要实施电采暖设施建设、入户用电线路改造等配套设施建设。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3.用途和主要内容、涉及范围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全县7个乡镇45个村14691户（其中巴扎结米镇9个村2851户，希依提墩乡10个村1766户，央塔克乡2个村977户，吐曼塔勒乡12个村5817户，尕孜库勒乡3个村590户，库木库萨尔乡7个村1598户，昂格特勒克乡2个村1092户），其中贫困户4405户，建设内容为实施电采暖设施建设、入户用电线路改造等配套设施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计划总投资5582.58万元，资金来源为中央财政补助资金、自治区财政补贴资金、农户自筹资金、扶贫资金等，其中：巴扎结米镇2851户，投资1083.38万元，希依提墩乡1766户，投资671.08万元，央塔克乡977户，投资371.26万元，吐曼塔勒乡5817户，投资2210.46万元，尕孜库勒乡590户，投资224.2万元，库木库萨尔乡1598户，投资607.24万元，昂格特勒克乡1092户，投资414.96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2019年自治区拨付煤改电专项资金2093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元，收取农户自筹资金1362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元（一般户10074户957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03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元，贫困户4267户405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27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元（从扶贫资金中拨付4404户418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38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元，退库13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户13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11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元）），合计3455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截止目前已支付工程款3301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885181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元，其中一标段680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399988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元，二标段657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58382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元，三标段683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890641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元，四标段714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95841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元，五标段565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052322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元，发放贫困户补助418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3800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元（退库13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户13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1100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元，实际发放405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2700</w:t>
      </w:r>
      <w:r>
        <w:rPr>
          <w:rFonts w:hint="eastAsia" w:ascii="仿宋" w:hAnsi="仿宋" w:eastAsia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/>
          <w:sz w:val="32"/>
          <w:szCs w:val="32"/>
        </w:rPr>
        <w:t>元）。剩余未支付工程款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</w:t>
      </w:r>
      <w:r>
        <w:rPr>
          <w:rFonts w:hint="eastAsia" w:ascii="仿宋" w:hAnsi="仿宋" w:eastAsia="仿宋"/>
          <w:sz w:val="32"/>
          <w:szCs w:val="32"/>
        </w:rPr>
        <w:t>228069万元，因验收不合格未支付，待整改合格后支付。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项目支出符合住房和城乡建设局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使用专项建设基金过程中，严格按中央投资项目的规划、立项符合中央要求和地方实际，不存在违规乱上项目等情况，审批和建设程序完备、招标方式的确定、招标文件的编制、资格审查、标段划分、评标、定标、招标代理等行为均符合要求。没有擅自扩大建设、报大建小、异地建设、变更建设内容等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实施过程中，我们围绕县委、县政府中心工作，做到群策群力、凝心聚力，扎实推进民生实事工作。一是加强组织领导。严格按照“一个重点项目（工作）、一名负责领导、一个责任部门、一套时间任务计划”的工作模式，及时听取重点项目、工作的情况汇报，密切了解推进动态，及时解决推进过程中存在的困难和问题；责任部门按照细化重点项目、工作推进目标和任务倒排计划，逐项落实并完成工作责任。二是加强协调调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本项目共设置一级指标3个，二级指标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个，三级指标16个，其中已完成三级指标1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个，指标完成率为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81.25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(一）产出指标完成情况分析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1.项目完成数量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项目受益总户数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预期指标值</w:t>
      </w:r>
      <w:r>
        <w:rPr>
          <w:rFonts w:hint="eastAsia" w:ascii="仿宋" w:hAnsi="仿宋" w:eastAsia="仿宋"/>
          <w:sz w:val="32"/>
          <w:szCs w:val="32"/>
        </w:rPr>
        <w:t>14691户，实际完成值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14552户</w:t>
      </w:r>
      <w:r>
        <w:rPr>
          <w:rFonts w:hint="eastAsia" w:ascii="仿宋" w:hAnsi="仿宋" w:eastAsia="仿宋"/>
          <w:sz w:val="32"/>
          <w:szCs w:val="32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4.92</w:t>
      </w:r>
      <w:r>
        <w:rPr>
          <w:rFonts w:hint="eastAsia" w:ascii="仿宋" w:hAnsi="仿宋" w:eastAsia="仿宋"/>
          <w:sz w:val="32"/>
          <w:szCs w:val="32"/>
        </w:rPr>
        <w:t>分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出现不符合条件的情况退库139户</w:t>
      </w:r>
      <w:r>
        <w:rPr>
          <w:rFonts w:hint="eastAsia" w:ascii="仿宋" w:hAnsi="仿宋" w:eastAsia="仿宋"/>
          <w:sz w:val="32"/>
          <w:szCs w:val="32"/>
        </w:rPr>
        <w:t>；其中贫困户数量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预期指标值</w:t>
      </w:r>
      <w:r>
        <w:rPr>
          <w:rFonts w:hint="eastAsia" w:ascii="仿宋" w:hAnsi="仿宋" w:eastAsia="仿宋"/>
          <w:sz w:val="32"/>
          <w:szCs w:val="32"/>
        </w:rPr>
        <w:t>4405户，实际完成值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4266户</w:t>
      </w:r>
      <w:r>
        <w:rPr>
          <w:rFonts w:hint="eastAsia" w:ascii="仿宋" w:hAnsi="仿宋" w:eastAsia="仿宋"/>
          <w:sz w:val="32"/>
          <w:szCs w:val="32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4.82</w:t>
      </w:r>
      <w:r>
        <w:rPr>
          <w:rFonts w:hint="eastAsia" w:ascii="仿宋" w:hAnsi="仿宋" w:eastAsia="仿宋"/>
          <w:sz w:val="32"/>
          <w:szCs w:val="32"/>
        </w:rPr>
        <w:t>分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出现设备不符合条件的情况导致退库139户；</w:t>
      </w:r>
      <w:r>
        <w:rPr>
          <w:rFonts w:hint="eastAsia" w:ascii="仿宋" w:hAnsi="仿宋" w:eastAsia="仿宋"/>
          <w:sz w:val="32"/>
          <w:szCs w:val="32"/>
        </w:rPr>
        <w:t>兴边富民整村推进数量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预期指标值</w:t>
      </w:r>
      <w:r>
        <w:rPr>
          <w:rFonts w:hint="eastAsia" w:ascii="仿宋" w:hAnsi="仿宋" w:eastAsia="仿宋"/>
          <w:sz w:val="32"/>
          <w:szCs w:val="32"/>
        </w:rPr>
        <w:t>7个</w:t>
      </w:r>
      <w:r>
        <w:rPr>
          <w:rFonts w:hint="eastAsia" w:ascii="仿宋" w:hAnsi="仿宋" w:eastAsia="仿宋"/>
          <w:sz w:val="32"/>
          <w:szCs w:val="32"/>
          <w:lang w:eastAsia="zh-CN"/>
        </w:rPr>
        <w:t>，实际完成值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7个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分；数量指标总权值分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14.74</w:t>
      </w:r>
      <w:r>
        <w:rPr>
          <w:rFonts w:hint="eastAsia" w:ascii="仿宋" w:hAnsi="仿宋" w:eastAsia="仿宋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2.项目完成质量。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" w:hAnsi="仿宋" w:eastAsia="仿宋"/>
          <w:sz w:val="32"/>
          <w:szCs w:val="32"/>
        </w:rPr>
        <w:t>项目验收合格率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预期指标值100%，</w:t>
      </w:r>
      <w:r>
        <w:rPr>
          <w:rFonts w:hint="eastAsia" w:ascii="仿宋" w:hAnsi="仿宋" w:eastAsia="仿宋"/>
          <w:sz w:val="32"/>
          <w:szCs w:val="32"/>
          <w:lang w:eastAsia="zh-CN"/>
        </w:rPr>
        <w:t>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质量</w:t>
      </w:r>
      <w:r>
        <w:rPr>
          <w:rFonts w:hint="eastAsia" w:ascii="仿宋" w:hAnsi="仿宋" w:eastAsia="仿宋"/>
          <w:sz w:val="32"/>
          <w:szCs w:val="32"/>
          <w:lang w:eastAsia="zh-CN"/>
        </w:rPr>
        <w:t>指标总权值分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3.项目完成时效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本项目计划实施进度为2019年7月5日前工程开工率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指标预期值100%，</w:t>
      </w:r>
      <w:r>
        <w:rPr>
          <w:rFonts w:hint="eastAsia" w:ascii="仿宋" w:hAnsi="仿宋" w:eastAsia="仿宋"/>
          <w:sz w:val="32"/>
          <w:szCs w:val="32"/>
          <w:lang w:eastAsia="zh-CN"/>
        </w:rPr>
        <w:t>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</w:rPr>
        <w:t>2019年9月30号计划完工进度，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指标预期值100%，</w:t>
      </w:r>
      <w:r>
        <w:rPr>
          <w:rFonts w:hint="eastAsia" w:ascii="仿宋" w:hAnsi="仿宋" w:eastAsia="仿宋"/>
          <w:sz w:val="32"/>
          <w:szCs w:val="32"/>
          <w:lang w:eastAsia="zh-CN"/>
        </w:rPr>
        <w:t>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</w:rPr>
        <w:t>项目于9月份完工验收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时效</w:t>
      </w:r>
      <w:r>
        <w:rPr>
          <w:rFonts w:hint="eastAsia" w:ascii="仿宋" w:hAnsi="仿宋" w:eastAsia="仿宋"/>
          <w:sz w:val="32"/>
          <w:szCs w:val="32"/>
          <w:lang w:eastAsia="zh-CN"/>
        </w:rPr>
        <w:t>指标总权值分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4.项目成本节约情况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每户工程成本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指标预期值</w:t>
      </w:r>
      <w:r>
        <w:rPr>
          <w:rFonts w:hint="eastAsia" w:ascii="仿宋" w:hAnsi="仿宋" w:eastAsia="仿宋"/>
          <w:sz w:val="32"/>
          <w:szCs w:val="32"/>
        </w:rPr>
        <w:t>3800元，</w:t>
      </w:r>
      <w:r>
        <w:rPr>
          <w:rFonts w:hint="eastAsia" w:ascii="仿宋" w:hAnsi="仿宋" w:eastAsia="仿宋"/>
          <w:sz w:val="32"/>
          <w:szCs w:val="32"/>
          <w:lang w:eastAsia="zh-CN"/>
        </w:rPr>
        <w:t>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3800元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</w:rPr>
        <w:t>每户财政资金补助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指标预期值</w:t>
      </w:r>
      <w:r>
        <w:rPr>
          <w:rFonts w:hint="eastAsia" w:ascii="仿宋" w:hAnsi="仿宋" w:eastAsia="仿宋"/>
          <w:sz w:val="32"/>
          <w:szCs w:val="32"/>
        </w:rPr>
        <w:t>2850元，</w:t>
      </w:r>
      <w:r>
        <w:rPr>
          <w:rFonts w:hint="eastAsia" w:ascii="仿宋" w:hAnsi="仿宋" w:eastAsia="仿宋"/>
          <w:sz w:val="32"/>
          <w:szCs w:val="32"/>
          <w:lang w:eastAsia="zh-CN"/>
        </w:rPr>
        <w:t>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2850元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</w:rPr>
        <w:t>一般户每户自筹资金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指标预期值</w:t>
      </w:r>
      <w:r>
        <w:rPr>
          <w:rFonts w:hint="eastAsia" w:ascii="仿宋" w:hAnsi="仿宋" w:eastAsia="仿宋"/>
          <w:sz w:val="32"/>
          <w:szCs w:val="32"/>
        </w:rPr>
        <w:t>950元，</w:t>
      </w:r>
      <w:r>
        <w:rPr>
          <w:rFonts w:hint="eastAsia" w:ascii="仿宋" w:hAnsi="仿宋" w:eastAsia="仿宋"/>
          <w:sz w:val="32"/>
          <w:szCs w:val="32"/>
          <w:lang w:eastAsia="zh-CN"/>
        </w:rPr>
        <w:t>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950元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</w:rPr>
        <w:t>贫困户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每户</w:t>
      </w:r>
      <w:r>
        <w:rPr>
          <w:rFonts w:hint="eastAsia" w:ascii="仿宋" w:hAnsi="仿宋" w:eastAsia="仿宋"/>
          <w:sz w:val="32"/>
          <w:szCs w:val="32"/>
        </w:rPr>
        <w:t>补助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金额指标预期值3800</w:t>
      </w:r>
      <w:r>
        <w:rPr>
          <w:rFonts w:hint="eastAsia" w:ascii="仿宋" w:hAnsi="仿宋" w:eastAsia="仿宋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  <w:lang w:eastAsia="zh-CN"/>
        </w:rPr>
        <w:t>，实际完成值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3800元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成本</w:t>
      </w:r>
      <w:r>
        <w:rPr>
          <w:rFonts w:hint="eastAsia" w:ascii="仿宋" w:hAnsi="仿宋" w:eastAsia="仿宋"/>
          <w:sz w:val="32"/>
          <w:szCs w:val="32"/>
          <w:lang w:eastAsia="zh-CN"/>
        </w:rPr>
        <w:t>指标总权值分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  <w:lang w:eastAsia="zh-CN"/>
        </w:rPr>
        <w:t>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（二）效益指标完成情况分析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1.项目实施的经济效益分析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2.项目实施的社会效益分析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本项目的实施方便农民出行，改善农村生活环境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指标预期值效果明显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</w:rPr>
        <w:t>受益建档立卡贫困人口数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指标预期值4405</w:t>
      </w:r>
      <w:r>
        <w:rPr>
          <w:rFonts w:hint="eastAsia" w:ascii="仿宋" w:hAnsi="仿宋" w:eastAsia="仿宋"/>
          <w:sz w:val="32"/>
          <w:szCs w:val="32"/>
        </w:rPr>
        <w:t>人</w:t>
      </w:r>
      <w:r>
        <w:rPr>
          <w:rFonts w:hint="eastAsia" w:ascii="仿宋" w:hAnsi="仿宋" w:eastAsia="仿宋"/>
          <w:sz w:val="32"/>
          <w:szCs w:val="32"/>
          <w:lang w:eastAsia="zh-CN"/>
        </w:rPr>
        <w:t>，实际完成值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4266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5.81</w:t>
      </w:r>
      <w:r>
        <w:rPr>
          <w:rFonts w:hint="eastAsia" w:ascii="仿宋" w:hAnsi="仿宋" w:eastAsia="仿宋"/>
          <w:sz w:val="32"/>
          <w:szCs w:val="32"/>
          <w:lang w:eastAsia="zh-CN"/>
        </w:rPr>
        <w:t>分，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出现设备不符合条件的情况导致退库139户</w:t>
      </w:r>
      <w:r>
        <w:rPr>
          <w:rFonts w:hint="eastAsia" w:ascii="仿宋" w:hAnsi="仿宋" w:eastAsia="仿宋"/>
          <w:sz w:val="32"/>
          <w:szCs w:val="32"/>
          <w:lang w:eastAsia="zh-CN"/>
        </w:rPr>
        <w:t>；社会效益指标总权衡分值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  <w:lang w:eastAsia="zh-CN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.81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11.81</w:t>
      </w:r>
      <w:r>
        <w:rPr>
          <w:rFonts w:hint="eastAsia" w:ascii="仿宋" w:hAnsi="仿宋" w:eastAsia="仿宋"/>
          <w:sz w:val="32"/>
          <w:szCs w:val="32"/>
          <w:lang w:eastAsia="zh-CN"/>
        </w:rPr>
        <w:t>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3.项目实施的生态效益分析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减少空气粉尘污染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指标预期值效果明显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</w:rPr>
        <w:t>降低煤炭使用比例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指标预期值效果明显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生态</w:t>
      </w:r>
      <w:r>
        <w:rPr>
          <w:rFonts w:hint="eastAsia" w:ascii="仿宋" w:hAnsi="仿宋" w:eastAsia="仿宋"/>
          <w:sz w:val="32"/>
          <w:szCs w:val="32"/>
          <w:lang w:eastAsia="zh-CN"/>
        </w:rPr>
        <w:t>效益指标总权衡分值1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4.项目实施的可持续影响分析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改造后质保时间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指标预期值</w:t>
      </w:r>
      <w:r>
        <w:rPr>
          <w:rFonts w:hint="eastAsia" w:ascii="仿宋" w:hAnsi="仿宋" w:eastAsia="仿宋"/>
          <w:sz w:val="32"/>
          <w:szCs w:val="32"/>
        </w:rPr>
        <w:t>5年</w:t>
      </w:r>
      <w:r>
        <w:rPr>
          <w:rFonts w:hint="eastAsia" w:ascii="仿宋" w:hAnsi="仿宋" w:eastAsia="仿宋"/>
          <w:sz w:val="32"/>
          <w:szCs w:val="32"/>
          <w:lang w:eastAsia="zh-CN"/>
        </w:rPr>
        <w:t>，实际完成值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5年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</w:rPr>
        <w:t>可持续影响</w:t>
      </w:r>
      <w:r>
        <w:rPr>
          <w:rFonts w:hint="eastAsia" w:ascii="仿宋" w:hAnsi="仿宋" w:eastAsia="仿宋"/>
          <w:sz w:val="32"/>
          <w:szCs w:val="32"/>
          <w:lang w:eastAsia="zh-CN"/>
        </w:rPr>
        <w:t>指标总权衡分值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按计划完成项目实施，已做满意度调查问卷，受益贫困户满意度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指标预期值</w:t>
      </w:r>
      <w:r>
        <w:rPr>
          <w:rFonts w:hint="eastAsia"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%以上，</w:t>
      </w:r>
      <w:r>
        <w:rPr>
          <w:rFonts w:hint="eastAsia" w:ascii="仿宋" w:hAnsi="仿宋" w:eastAsia="仿宋"/>
          <w:sz w:val="32"/>
          <w:szCs w:val="32"/>
          <w:lang w:eastAsia="zh-CN"/>
        </w:rPr>
        <w:t>实际完成值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95%</w:t>
      </w:r>
      <w:r>
        <w:rPr>
          <w:rFonts w:hint="eastAsia" w:ascii="仿宋" w:hAnsi="仿宋" w:eastAsia="仿宋"/>
          <w:sz w:val="32"/>
          <w:szCs w:val="32"/>
          <w:lang w:eastAsia="zh-CN"/>
        </w:rPr>
        <w:t>，该指标权值分为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  <w:lang w:eastAsia="zh-CN"/>
        </w:rPr>
        <w:t>分；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满意度</w:t>
      </w:r>
      <w:r>
        <w:rPr>
          <w:rFonts w:hint="eastAsia" w:ascii="仿宋" w:hAnsi="仿宋" w:eastAsia="仿宋"/>
          <w:sz w:val="32"/>
          <w:szCs w:val="32"/>
          <w:lang w:eastAsia="zh-CN"/>
        </w:rPr>
        <w:t>指标总权衡分值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  <w:lang w:eastAsia="zh-CN"/>
        </w:rPr>
        <w:t>分，得分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  <w:lang w:eastAsia="zh-CN"/>
        </w:rPr>
        <w:t>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五、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项目绩效目标未完成的原因分析和改进措施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由于“煤改电”工程档案资料不完善，产品检测报告不齐全，配电箱及温控器不符合自治区地方标准的要求，根据地委的要求，对“煤改电”用户先进行通电，待符合自治区地方标准要求的配电箱及温控器到位后进行替换，再次组织相关人员进行验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六、综合评价结论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综合评价，本项目达成预期指标，在项目实施过程中，做到了资金使用、管理、保障到位，严格执行扶贫资金管理办法和财政资金管理制度，按照项目实施方案、招投标管理办法，根据年初设定的绩效目标，此项目综合评价得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99.55</w:t>
      </w:r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七、项目实施的经验、问题、建议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（一）主要经验及做法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回顾项目建设过程，我们有几点体会。领导重视是保证。作为一个民生工程，本项目纳入了县政府工作主要任务，并给予资金支持。县委、政府主要领导及分管领导十分重视。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无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本项目实施完成后，我单位将会加大对后续工作的监管力度，确保把民生实事做细、做好。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八、绩效评价工作有关说明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r>
        <w:rPr>
          <w:rFonts w:hint="eastAsia" w:ascii="仿宋" w:hAnsi="仿宋" w:eastAsia="仿宋"/>
          <w:sz w:val="32"/>
          <w:szCs w:val="32"/>
        </w:rPr>
        <w:t>本次评价通过文件研读、实地调研、数据分析等方式，全面了解煤改电项目资金的使用效率和效果，项目管理过程规范，完成了预期绩效目标等。同时，通过开展自我评价来总结经验和教训，为我县煤改电项目今后的开展提供参考建议。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九、附表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7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《绩效目标自评表》</w:t>
      </w:r>
    </w:p>
    <w:p>
      <w:pPr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pStyle w:val="2"/>
      </w:pPr>
    </w:p>
    <w:p/>
    <w:p/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11"/>
          <w:szCs w:val="11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ADBF1B-EE90-4E12-81EA-2077A8167A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3A59650-3449-4846-8290-007316EA72B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978D72C-E5EC-4335-A63D-AFE000C30B2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E4C1179F-F42E-41AD-A6D4-D25C9C754EAE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54924A62-3257-470C-894A-DE7022CF1E7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5207828-D652-4471-88FB-A30E8178DE1C}"/>
  </w:font>
  <w:font w:name="??_GB2312">
    <w:altName w:val="Lucida Console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25A85"/>
    <w:rsid w:val="00026C16"/>
    <w:rsid w:val="00056465"/>
    <w:rsid w:val="000F4A25"/>
    <w:rsid w:val="00121AE4"/>
    <w:rsid w:val="00146AAD"/>
    <w:rsid w:val="001B3A40"/>
    <w:rsid w:val="00214B64"/>
    <w:rsid w:val="00220617"/>
    <w:rsid w:val="002B56D4"/>
    <w:rsid w:val="00311626"/>
    <w:rsid w:val="00321CBD"/>
    <w:rsid w:val="00336249"/>
    <w:rsid w:val="00394F11"/>
    <w:rsid w:val="00432497"/>
    <w:rsid w:val="004366A8"/>
    <w:rsid w:val="004E08AB"/>
    <w:rsid w:val="004E487A"/>
    <w:rsid w:val="00502BA7"/>
    <w:rsid w:val="00502FC8"/>
    <w:rsid w:val="00503E4E"/>
    <w:rsid w:val="005162F1"/>
    <w:rsid w:val="00535153"/>
    <w:rsid w:val="00542CD0"/>
    <w:rsid w:val="00554F82"/>
    <w:rsid w:val="0056390D"/>
    <w:rsid w:val="005719B0"/>
    <w:rsid w:val="005D10D6"/>
    <w:rsid w:val="0062179A"/>
    <w:rsid w:val="00694DBE"/>
    <w:rsid w:val="006B4F1A"/>
    <w:rsid w:val="006E22AB"/>
    <w:rsid w:val="007415F2"/>
    <w:rsid w:val="00752414"/>
    <w:rsid w:val="007A593B"/>
    <w:rsid w:val="007D32F0"/>
    <w:rsid w:val="007E650F"/>
    <w:rsid w:val="007E6716"/>
    <w:rsid w:val="00855E3A"/>
    <w:rsid w:val="00886E73"/>
    <w:rsid w:val="00922CB9"/>
    <w:rsid w:val="009B7BD5"/>
    <w:rsid w:val="009E3E82"/>
    <w:rsid w:val="009E5CD9"/>
    <w:rsid w:val="00A26421"/>
    <w:rsid w:val="00A4293B"/>
    <w:rsid w:val="00A44F3E"/>
    <w:rsid w:val="00A67D50"/>
    <w:rsid w:val="00A8691A"/>
    <w:rsid w:val="00AC0605"/>
    <w:rsid w:val="00AC1946"/>
    <w:rsid w:val="00B40063"/>
    <w:rsid w:val="00B41F61"/>
    <w:rsid w:val="00B87618"/>
    <w:rsid w:val="00BA46E6"/>
    <w:rsid w:val="00BA56E6"/>
    <w:rsid w:val="00BE4E79"/>
    <w:rsid w:val="00C24C99"/>
    <w:rsid w:val="00C37015"/>
    <w:rsid w:val="00C56C72"/>
    <w:rsid w:val="00C76514"/>
    <w:rsid w:val="00C84776"/>
    <w:rsid w:val="00C95952"/>
    <w:rsid w:val="00CA6457"/>
    <w:rsid w:val="00CC1B19"/>
    <w:rsid w:val="00D17F2E"/>
    <w:rsid w:val="00D30354"/>
    <w:rsid w:val="00D35A5E"/>
    <w:rsid w:val="00D93F16"/>
    <w:rsid w:val="00DB1727"/>
    <w:rsid w:val="00DD1016"/>
    <w:rsid w:val="00DF42A0"/>
    <w:rsid w:val="00E275D2"/>
    <w:rsid w:val="00E27E43"/>
    <w:rsid w:val="00E769FE"/>
    <w:rsid w:val="00EA2CBE"/>
    <w:rsid w:val="00EC440C"/>
    <w:rsid w:val="00ED7019"/>
    <w:rsid w:val="00F32FEE"/>
    <w:rsid w:val="00FB10BB"/>
    <w:rsid w:val="00FC3B55"/>
    <w:rsid w:val="048A3D7F"/>
    <w:rsid w:val="07AC48CA"/>
    <w:rsid w:val="0DF710F9"/>
    <w:rsid w:val="0E5D0EE5"/>
    <w:rsid w:val="0E9631F8"/>
    <w:rsid w:val="0FC74EF2"/>
    <w:rsid w:val="11262F3D"/>
    <w:rsid w:val="1A25420F"/>
    <w:rsid w:val="1FA64067"/>
    <w:rsid w:val="240F06D8"/>
    <w:rsid w:val="288C1166"/>
    <w:rsid w:val="303E7120"/>
    <w:rsid w:val="3899662C"/>
    <w:rsid w:val="39221168"/>
    <w:rsid w:val="3C4939DD"/>
    <w:rsid w:val="3EF44630"/>
    <w:rsid w:val="40174AA2"/>
    <w:rsid w:val="472A233E"/>
    <w:rsid w:val="4881020A"/>
    <w:rsid w:val="4C930787"/>
    <w:rsid w:val="52187088"/>
    <w:rsid w:val="5A30172F"/>
    <w:rsid w:val="62943658"/>
    <w:rsid w:val="649E691A"/>
    <w:rsid w:val="6B92304B"/>
    <w:rsid w:val="75176492"/>
    <w:rsid w:val="7BE923FA"/>
    <w:rsid w:val="7CFC5F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61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47">
    <w:name w:val="font71"/>
    <w:basedOn w:val="17"/>
    <w:qFormat/>
    <w:uiPriority w:val="0"/>
    <w:rPr>
      <w:rFonts w:hint="default" w:ascii="仿宋_GB2312" w:eastAsia="仿宋_GB2312" w:cs="仿宋_GB2312"/>
      <w:b/>
      <w:color w:val="000000"/>
      <w:sz w:val="32"/>
      <w:szCs w:val="32"/>
      <w:u w:val="none"/>
    </w:rPr>
  </w:style>
  <w:style w:type="character" w:customStyle="1" w:styleId="48">
    <w:name w:val="font01"/>
    <w:basedOn w:val="17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49">
    <w:name w:val="font1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0">
    <w:name w:val="font51"/>
    <w:basedOn w:val="17"/>
    <w:qFormat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  <w:style w:type="character" w:customStyle="1" w:styleId="51">
    <w:name w:val="font81"/>
    <w:basedOn w:val="17"/>
    <w:qFormat/>
    <w:uiPriority w:val="0"/>
    <w:rPr>
      <w:rFonts w:hint="default" w:ascii="仿宋_GB2312" w:eastAsia="仿宋_GB2312" w:cs="仿宋_GB2312"/>
      <w:b/>
      <w:color w:val="000000"/>
      <w:sz w:val="32"/>
      <w:szCs w:val="32"/>
      <w:u w:val="none"/>
    </w:rPr>
  </w:style>
  <w:style w:type="character" w:customStyle="1" w:styleId="52">
    <w:name w:val="font2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685</Words>
  <Characters>3908</Characters>
  <Lines>32</Lines>
  <Paragraphs>9</Paragraphs>
  <TotalTime>25</TotalTime>
  <ScaleCrop>false</ScaleCrop>
  <LinksUpToDate>false</LinksUpToDate>
  <CharactersWithSpaces>4584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2019-12-27T06:04:00Z</dcterms:created>
  <dc:creator>赵 恺（预算处）</dc:creator>
  <cp:lastModifiedBy>虎妈</cp:lastModifiedBy>
  <cp:lastPrinted>2018-12-31T10:56:00Z</cp:lastPrinted>
  <dcterms:modified xsi:type="dcterms:W3CDTF">2020-05-05T01:12:44Z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