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ind w:firstLine="545" w:firstLineChars="0"/>
        <w:jc w:val="both"/>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喀什地区麦盖提县扶贫项目资金支出</w:t>
      </w:r>
    </w:p>
    <w:p>
      <w:pPr>
        <w:spacing w:line="540" w:lineRule="exact"/>
        <w:jc w:val="center"/>
        <w:outlineLvl w:val="0"/>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绩效自评报告</w:t>
      </w:r>
    </w:p>
    <w:p>
      <w:pPr>
        <w:spacing w:line="540" w:lineRule="exact"/>
        <w:jc w:val="center"/>
        <w:rPr>
          <w:rFonts w:ascii="仿宋" w:hAnsi="仿宋" w:eastAsia="仿宋" w:cs="宋体"/>
          <w:kern w:val="0"/>
          <w:sz w:val="32"/>
          <w:szCs w:val="32"/>
        </w:rPr>
      </w:pPr>
    </w:p>
    <w:p>
      <w:pPr>
        <w:spacing w:line="540" w:lineRule="exact"/>
        <w:jc w:val="center"/>
        <w:rPr>
          <w:rFonts w:ascii="华文中宋" w:hAnsi="华文中宋" w:eastAsia="华文中宋" w:cs="宋体"/>
          <w:b/>
          <w:kern w:val="0"/>
          <w:sz w:val="52"/>
          <w:szCs w:val="52"/>
        </w:rPr>
      </w:pPr>
    </w:p>
    <w:p>
      <w:pPr>
        <w:spacing w:line="540" w:lineRule="exact"/>
        <w:jc w:val="center"/>
        <w:outlineLvl w:val="0"/>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2019</w:t>
      </w:r>
      <w:r>
        <w:rPr>
          <w:rFonts w:hint="eastAsia" w:hAnsi="宋体" w:eastAsia="仿宋_GB2312" w:cs="宋体"/>
          <w:kern w:val="0"/>
          <w:sz w:val="36"/>
          <w:szCs w:val="36"/>
        </w:rPr>
        <w:t>年度）</w:t>
      </w:r>
    </w:p>
    <w:p>
      <w:pPr>
        <w:spacing w:line="540" w:lineRule="exact"/>
        <w:jc w:val="both"/>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pStyle w:val="2"/>
        <w:rPr>
          <w:rFonts w:hAnsi="宋体" w:eastAsia="仿宋_GB2312" w:cs="宋体"/>
          <w:kern w:val="0"/>
          <w:sz w:val="30"/>
          <w:szCs w:val="30"/>
        </w:rPr>
      </w:pPr>
    </w:p>
    <w:p>
      <w:pPr>
        <w:rPr>
          <w:rFonts w:hAnsi="宋体" w:eastAsia="仿宋_GB2312" w:cs="宋体"/>
          <w:kern w:val="0"/>
          <w:sz w:val="30"/>
          <w:szCs w:val="30"/>
        </w:rPr>
      </w:pPr>
    </w:p>
    <w:p>
      <w:pPr>
        <w:pStyle w:val="2"/>
      </w:pPr>
    </w:p>
    <w:p>
      <w:pPr>
        <w:spacing w:line="540" w:lineRule="exact"/>
        <w:rPr>
          <w:rFonts w:hAnsi="宋体" w:eastAsia="仿宋_GB2312" w:cs="宋体"/>
          <w:kern w:val="0"/>
          <w:sz w:val="30"/>
          <w:szCs w:val="30"/>
        </w:rPr>
      </w:pPr>
    </w:p>
    <w:p>
      <w:pPr>
        <w:spacing w:line="700" w:lineRule="exact"/>
        <w:ind w:leftChars="200"/>
        <w:jc w:val="left"/>
        <w:outlineLvl w:val="0"/>
        <w:rPr>
          <w:rFonts w:hint="eastAsia" w:ascii="仿宋" w:hAnsi="仿宋" w:eastAsia="仿宋" w:cs="仿宋"/>
          <w:kern w:val="0"/>
          <w:sz w:val="32"/>
          <w:szCs w:val="32"/>
          <w:lang w:eastAsia="zh-CN"/>
        </w:rPr>
      </w:pPr>
      <w:r>
        <w:rPr>
          <w:rFonts w:hint="eastAsia" w:ascii="仿宋" w:hAnsi="仿宋" w:eastAsia="仿宋" w:cs="仿宋"/>
          <w:kern w:val="0"/>
          <w:sz w:val="32"/>
          <w:szCs w:val="32"/>
        </w:rPr>
        <w:t>项目名称：</w:t>
      </w:r>
      <w:r>
        <w:rPr>
          <w:rFonts w:hint="eastAsia" w:ascii="仿宋" w:hAnsi="仿宋" w:eastAsia="仿宋" w:cs="仿宋"/>
          <w:kern w:val="0"/>
          <w:sz w:val="32"/>
          <w:szCs w:val="32"/>
          <w:lang w:eastAsia="zh-CN"/>
        </w:rPr>
        <w:t>贫困户住房条件改善（饮食设施）项目</w:t>
      </w:r>
    </w:p>
    <w:p>
      <w:pPr>
        <w:spacing w:line="700" w:lineRule="exact"/>
        <w:ind w:leftChars="200"/>
        <w:jc w:val="left"/>
        <w:outlineLvl w:val="0"/>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实施单位（公章）：</w:t>
      </w:r>
      <w:r>
        <w:rPr>
          <w:rFonts w:hint="eastAsia" w:ascii="仿宋" w:hAnsi="仿宋" w:eastAsia="仿宋" w:cs="仿宋"/>
          <w:kern w:val="0"/>
          <w:sz w:val="32"/>
          <w:szCs w:val="32"/>
          <w:lang w:val="en-US" w:eastAsia="zh-CN"/>
        </w:rPr>
        <w:t>涉及各乡镇人民政府</w:t>
      </w:r>
    </w:p>
    <w:p>
      <w:pPr>
        <w:spacing w:line="700" w:lineRule="exact"/>
        <w:ind w:firstLine="320" w:firstLineChars="100"/>
        <w:jc w:val="left"/>
        <w:outlineLvl w:val="0"/>
        <w:rPr>
          <w:rFonts w:hint="eastAsia" w:ascii="仿宋" w:hAnsi="仿宋" w:eastAsia="仿宋" w:cs="仿宋"/>
          <w:kern w:val="0"/>
          <w:sz w:val="32"/>
          <w:szCs w:val="32"/>
          <w:lang w:eastAsia="zh-CN"/>
        </w:rPr>
      </w:pPr>
      <w:r>
        <w:rPr>
          <w:rFonts w:hint="eastAsia" w:ascii="仿宋" w:hAnsi="仿宋" w:eastAsia="仿宋" w:cs="仿宋"/>
          <w:kern w:val="0"/>
          <w:sz w:val="32"/>
          <w:szCs w:val="32"/>
        </w:rPr>
        <w:t>主管部门（公章）：</w:t>
      </w:r>
      <w:r>
        <w:rPr>
          <w:rFonts w:hint="eastAsia" w:ascii="仿宋" w:hAnsi="仿宋" w:eastAsia="仿宋" w:cs="仿宋"/>
          <w:kern w:val="0"/>
          <w:sz w:val="32"/>
          <w:szCs w:val="32"/>
          <w:lang w:eastAsia="zh-CN"/>
        </w:rPr>
        <w:t>麦盖提县抗震安居办</w:t>
      </w:r>
    </w:p>
    <w:p>
      <w:pPr>
        <w:spacing w:line="700" w:lineRule="exact"/>
        <w:ind w:leftChars="200"/>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项目负责人（签章）：</w:t>
      </w:r>
      <w:r>
        <w:rPr>
          <w:rFonts w:hint="eastAsia" w:ascii="仿宋" w:hAnsi="仿宋" w:eastAsia="仿宋" w:cs="仿宋"/>
          <w:kern w:val="0"/>
          <w:sz w:val="32"/>
          <w:szCs w:val="32"/>
          <w:lang w:eastAsia="zh-CN"/>
        </w:rPr>
        <w:t>陶万林</w:t>
      </w:r>
    </w:p>
    <w:p>
      <w:pPr>
        <w:spacing w:line="700" w:lineRule="exact"/>
        <w:ind w:leftChars="200"/>
        <w:jc w:val="left"/>
        <w:outlineLvl w:val="0"/>
        <w:rPr>
          <w:rFonts w:hint="eastAsia" w:ascii="仿宋" w:hAnsi="仿宋" w:eastAsia="仿宋" w:cs="仿宋"/>
          <w:kern w:val="0"/>
          <w:sz w:val="32"/>
          <w:szCs w:val="32"/>
        </w:rPr>
      </w:pPr>
      <w:r>
        <w:rPr>
          <w:rFonts w:hint="eastAsia" w:ascii="仿宋" w:hAnsi="仿宋" w:eastAsia="仿宋" w:cs="仿宋"/>
          <w:kern w:val="0"/>
          <w:sz w:val="32"/>
          <w:szCs w:val="32"/>
        </w:rPr>
        <w:t>填报时间：</w:t>
      </w:r>
      <w:r>
        <w:rPr>
          <w:rFonts w:hint="eastAsia" w:ascii="仿宋" w:hAnsi="仿宋" w:eastAsia="仿宋" w:cs="仿宋"/>
          <w:kern w:val="0"/>
          <w:sz w:val="32"/>
          <w:szCs w:val="32"/>
          <w:lang w:val="en-US" w:eastAsia="zh-CN"/>
        </w:rPr>
        <w:t>2019年12</w:t>
      </w:r>
      <w:r>
        <w:rPr>
          <w:rFonts w:hint="eastAsia" w:ascii="仿宋" w:hAnsi="仿宋" w:eastAsia="仿宋" w:cs="仿宋"/>
          <w:kern w:val="0"/>
          <w:sz w:val="32"/>
          <w:szCs w:val="32"/>
        </w:rPr>
        <w:t xml:space="preserve">月 </w:t>
      </w:r>
      <w:r>
        <w:rPr>
          <w:rFonts w:hint="eastAsia" w:ascii="仿宋" w:hAnsi="仿宋" w:eastAsia="仿宋" w:cs="仿宋"/>
          <w:kern w:val="0"/>
          <w:sz w:val="32"/>
          <w:szCs w:val="32"/>
          <w:lang w:val="en-US" w:eastAsia="zh-CN"/>
        </w:rPr>
        <w:t>31</w:t>
      </w:r>
      <w:r>
        <w:rPr>
          <w:rFonts w:hint="eastAsia" w:ascii="仿宋" w:hAnsi="仿宋" w:eastAsia="仿宋" w:cs="仿宋"/>
          <w:kern w:val="0"/>
          <w:sz w:val="32"/>
          <w:szCs w:val="32"/>
        </w:rPr>
        <w:t>日</w:t>
      </w:r>
    </w:p>
    <w:p>
      <w:pPr>
        <w:keepNext w:val="0"/>
        <w:keepLines w:val="0"/>
        <w:pageBreakBefore w:val="0"/>
        <w:widowControl w:val="0"/>
        <w:kinsoku/>
        <w:wordWrap/>
        <w:overflowPunct/>
        <w:topLinePunct w:val="0"/>
        <w:autoSpaceDE/>
        <w:autoSpaceDN/>
        <w:bidi w:val="0"/>
        <w:spacing w:line="360" w:lineRule="auto"/>
        <w:ind w:firstLine="624" w:firstLineChars="200"/>
        <w:textAlignment w:val="auto"/>
        <w:rPr>
          <w:rStyle w:val="18"/>
          <w:rFonts w:hint="eastAsia" w:ascii="仿宋" w:hAnsi="仿宋" w:eastAsia="仿宋" w:cs="仿宋"/>
          <w:b w:val="0"/>
          <w:spacing w:val="-4"/>
          <w:sz w:val="32"/>
          <w:szCs w:val="32"/>
        </w:rPr>
        <w:sectPr>
          <w:headerReference r:id="rId3" w:type="default"/>
          <w:headerReference r:id="rId4" w:type="even"/>
          <w:pgSz w:w="11906" w:h="16838"/>
          <w:pgMar w:top="1440" w:right="1558" w:bottom="1440" w:left="1800" w:header="851" w:footer="992" w:gutter="0"/>
          <w:pgNumType w:fmt="numberInDash" w:start="12"/>
          <w:cols w:space="425" w:num="1"/>
          <w:docGrid w:type="lines" w:linePitch="312" w:charSpace="0"/>
        </w:sectPr>
      </w:pP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w:t>
      </w:r>
      <w:bookmarkStart w:id="0" w:name="_GoBack"/>
      <w:bookmarkEnd w:id="0"/>
      <w:r>
        <w:rPr>
          <w:rStyle w:val="18"/>
          <w:rFonts w:hint="eastAsia" w:ascii="黑体" w:hAnsi="黑体" w:eastAsia="黑体"/>
          <w:b w:val="0"/>
          <w:spacing w:val="-4"/>
          <w:sz w:val="32"/>
          <w:szCs w:val="32"/>
        </w:rPr>
        <w:t>项目概况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ascii="楷体_GB2312" w:hAnsi="楷体" w:eastAsia="楷体_GB2312"/>
          <w:spacing w:val="-4"/>
          <w:sz w:val="32"/>
          <w:szCs w:val="32"/>
        </w:rPr>
      </w:pPr>
      <w:r>
        <w:rPr>
          <w:rStyle w:val="18"/>
          <w:rFonts w:hint="eastAsia" w:ascii="楷体_GB2312" w:hAnsi="楷体" w:eastAsia="楷体_GB2312"/>
          <w:spacing w:val="-4"/>
          <w:sz w:val="32"/>
          <w:szCs w:val="32"/>
        </w:rPr>
        <w:t>（一）项目单位基本情况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单位职能：农村改厨项目牵头单位为麦盖提县住房和城乡建设安居富民领导小组办公室，主要职责是负责农村改厨工作的协调、监督、指导等；农村改厨的责任主体是乡镇（场）政府，主要负责改厨工作的具体实施。</w:t>
      </w:r>
    </w:p>
    <w:p>
      <w:pPr>
        <w:keepNext w:val="0"/>
        <w:keepLines w:val="0"/>
        <w:pageBreakBefore w:val="0"/>
        <w:widowControl w:val="0"/>
        <w:kinsoku/>
        <w:wordWrap/>
        <w:overflowPunct/>
        <w:topLinePunct w:val="0"/>
        <w:autoSpaceDE/>
        <w:autoSpaceDN/>
        <w:bidi w:val="0"/>
        <w:adjustRightInd w:val="0"/>
        <w:snapToGrid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2.单位人员情况：编制3名工作人员、其中：办公室主任一名，一般干部两名，现无在编干部，空编3名，从各单位抽调5名干部；</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rPr>
        <w:t>（二）</w:t>
      </w:r>
      <w:r>
        <w:rPr>
          <w:rStyle w:val="18"/>
          <w:rFonts w:hint="eastAsia" w:ascii="楷体_GB2312" w:hAnsi="楷体" w:eastAsia="楷体_GB2312"/>
          <w:spacing w:val="-4"/>
          <w:sz w:val="32"/>
          <w:szCs w:val="32"/>
          <w:lang w:val="en-US" w:eastAsia="zh-CN"/>
        </w:rPr>
        <w:t>项目简介</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default" w:ascii="仿宋_GB2312" w:hAnsi="仿宋" w:eastAsia="仿宋_GB2312" w:cs="Times New Roman"/>
          <w:b w:val="0"/>
          <w:spacing w:val="-4"/>
          <w:sz w:val="32"/>
          <w:szCs w:val="32"/>
          <w:lang w:val="en-US" w:eastAsia="zh-CN"/>
        </w:rPr>
        <w:t>1</w:t>
      </w:r>
      <w:r>
        <w:rPr>
          <w:rStyle w:val="18"/>
          <w:rFonts w:hint="eastAsia" w:ascii="仿宋_GB2312" w:hAnsi="仿宋" w:eastAsia="仿宋_GB2312" w:cs="Times New Roman"/>
          <w:b w:val="0"/>
          <w:spacing w:val="-4"/>
          <w:sz w:val="32"/>
          <w:szCs w:val="32"/>
          <w:lang w:val="en-US" w:eastAsia="zh-CN"/>
        </w:rPr>
        <w:t>.</w:t>
      </w:r>
      <w:r>
        <w:rPr>
          <w:rStyle w:val="18"/>
          <w:rFonts w:hint="default" w:ascii="仿宋_GB2312" w:hAnsi="仿宋" w:eastAsia="仿宋_GB2312" w:cs="Times New Roman"/>
          <w:b w:val="0"/>
          <w:spacing w:val="-4"/>
          <w:sz w:val="32"/>
          <w:szCs w:val="32"/>
          <w:lang w:val="en-US" w:eastAsia="zh-CN"/>
        </w:rPr>
        <w:t>改善麦盖提县8乡1镇9088户贫困户厨房设施条件，农村厨房改造户均补助1000元。</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default" w:ascii="仿宋_GB2312" w:hAnsi="仿宋" w:eastAsia="仿宋_GB2312" w:cs="Times New Roman"/>
          <w:b w:val="0"/>
          <w:spacing w:val="-4"/>
          <w:sz w:val="32"/>
          <w:szCs w:val="32"/>
          <w:lang w:val="en-US" w:eastAsia="zh-CN"/>
        </w:rPr>
        <w:t>2</w:t>
      </w:r>
      <w:r>
        <w:rPr>
          <w:rStyle w:val="18"/>
          <w:rFonts w:hint="eastAsia" w:ascii="仿宋_GB2312" w:hAnsi="仿宋" w:eastAsia="仿宋_GB2312" w:cs="Times New Roman"/>
          <w:b w:val="0"/>
          <w:spacing w:val="-4"/>
          <w:sz w:val="32"/>
          <w:szCs w:val="32"/>
          <w:lang w:val="en-US" w:eastAsia="zh-CN"/>
        </w:rPr>
        <w:t>.</w:t>
      </w:r>
      <w:r>
        <w:rPr>
          <w:rStyle w:val="18"/>
          <w:rFonts w:hint="default" w:ascii="仿宋_GB2312" w:hAnsi="仿宋" w:eastAsia="仿宋_GB2312" w:cs="Times New Roman"/>
          <w:b w:val="0"/>
          <w:spacing w:val="-4"/>
          <w:sz w:val="32"/>
          <w:szCs w:val="32"/>
          <w:lang w:val="en-US" w:eastAsia="zh-CN"/>
        </w:rPr>
        <w:t>推进人居环境整治工作,持续改善建档立卡贫困户人居环境，生产生活条件，让贫困户用上方便，卫生，环保的厨房，促其养成良好的饮食习惯。</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lang w:eastAsia="zh-CN"/>
        </w:rPr>
        <w:t>（</w:t>
      </w:r>
      <w:r>
        <w:rPr>
          <w:rStyle w:val="18"/>
          <w:rFonts w:hint="eastAsia" w:ascii="楷体_GB2312" w:hAnsi="楷体" w:eastAsia="楷体_GB2312"/>
          <w:spacing w:val="-4"/>
          <w:sz w:val="32"/>
          <w:szCs w:val="32"/>
          <w:lang w:val="en-US" w:eastAsia="zh-CN"/>
        </w:rPr>
        <w:t>三）</w:t>
      </w:r>
      <w:r>
        <w:rPr>
          <w:rStyle w:val="18"/>
          <w:rFonts w:hint="eastAsia" w:ascii="楷体_GB2312" w:hAnsi="楷体" w:eastAsia="楷体_GB2312"/>
          <w:spacing w:val="-4"/>
          <w:sz w:val="32"/>
          <w:szCs w:val="32"/>
        </w:rPr>
        <w:t>项目预算绩效目标设定情况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1.预期目标及阶段性目标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 xml:space="preserve">全县9088万户水冲式卫生厕所新建或改造任务有效完成。制定了农村改厨实施方案，明确2019年目标任务，实施步骤，同时细化指标，把任务分解到各个乡镇（场），确保完成2019年农村改厨目标任务。          </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sectPr>
          <w:headerReference r:id="rId5" w:type="default"/>
          <w:headerReference r:id="rId6" w:type="even"/>
          <w:pgSz w:w="11906" w:h="16838"/>
          <w:pgMar w:top="1440" w:right="1558" w:bottom="1440" w:left="1800" w:header="851" w:footer="992" w:gutter="0"/>
          <w:pgNumType w:fmt="numberInDash" w:start="12"/>
          <w:cols w:space="425" w:num="1"/>
          <w:docGrid w:type="lines" w:linePitch="312" w:charSpace="0"/>
        </w:sectPr>
      </w:pPr>
      <w:r>
        <w:rPr>
          <w:rStyle w:val="18"/>
          <w:rFonts w:hint="eastAsia" w:ascii="仿宋_GB2312" w:hAnsi="仿宋" w:eastAsia="仿宋_GB2312" w:cs="Times New Roman"/>
          <w:b w:val="0"/>
          <w:spacing w:val="-4"/>
          <w:sz w:val="32"/>
          <w:szCs w:val="32"/>
          <w:lang w:val="en-US" w:eastAsia="zh-CN"/>
        </w:rPr>
        <w:t>2.项目基本性质、用途</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有效改善农村生活环境和生活习惯、改善农村住房脏、乱、差的局面，着力改善群众生产生活环境。</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3.主要内容、涉及范围</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麦盖提县实施改厨9088户，每户补助1000元，投资918.4万元，其中:巴扎结米镇977户(巴格万村3户、巴扎结米村22户、贝勒克其村120户、波斯喀木村108户、博孜村18户、古勒巴格村100户、库台克勒克村207户、阔什艾肯村13户、恰木古鲁克村29户、乌喀村70户、吾尔曼村28户、亚胡木丹村54户、尤汉巴什墩村58户、尤勒滚鲁克村150户)；希依提墩乡885户(英也尔村改厨103户，英吾斯塘村改厨220户，月塘村改厨30户，琼库尔买里村改厨137户，英买里村改厨50户，英阿瓦提村改厨57户，依格孜艾日克村改厨58户，喀克夏勒村改厨47户，托万喀帕克阿斯提村改厨3户，苏帕顿村改厨58户，艾里克坎土曼村改厨57户，东风村改厨18户，博斯坦勒克村改厨60户，英巴扎村改厨48户)；央塔克乡1368户（奥依布格达依村58户、阿克艾额孜村37户、央塔克村49户、乌依鲁克村285户、结然墩村44户、明光（霍加阿瓦提）村23户、玉奇于孜莫村39户、阿恰墩村35户、克亚克勒克乌依村81户、包勒喀村46户、喀拉乌依（齐拉尼）村31户、布隆浪喀村39户、乌尊买里村57户、尤库日阿克提坎村107户、托万阿克提坎村36户、开蒙村47户、阿尔浪喀村66户、哈曼阔依地村39户、科克提坎村30户、代尔瓦扎托格拉克村96户、阔克阔勒（罕纳麻孜）村50户、塔立克村59户、东伟立克村14户）；吐曼塔勒乡650户（库如克鲁克村76户，温乌塔克村24户，吐曼塔勒村148户，皮力特库木希勒克村25户，阿亚克塔木村15户，敏乃克村18户，其盖勒克村25户，巴格乌尔曼村16户，开外孜力克村24户，奇热木旦村26户，托盖墩村62户，英阿瓦提村127户，亚库勒村24户，阿其克塔勒克村40户）；尕孜库勒乡1174户（喀什博依村6户、也可先拜巴扎村54户、英巴扎村38户、尕孜库勒村57户、喀玛库勒村14户、吐普硝村74户、墩买里村39户、麦迪尼帕合特勒克村27户、青格勒克奥依玛提村40户、拉依勒克帕合特勒克村67户、麦盖提帕合特勒克村36户、罕库勒村45户、亚恰克迪村47户、博孜库木村70户、塔拉买里村77户、库木希买里村45户、先拜巴扎村44户、巴格艾日克村53户、喀赞库勒村21户、巴格阿瓦提村161户）；克孜勒阿瓦提乡881户（阔纳巴扎村21户、巴格沃依拉村221户、英巴扎村6户、阿都克阿勒迪村39户、喀赞库勒村30户、拉依当村20户、喀拉墩村31户、亚塔库木村39户、乌库什墩村55户、塔勒克村71户、英阿瓦提村22户、阔什吾斯塘村99户、塔塔尔吾斯塘村75户、阿特库都克村115户、古麻托卡依村37户）；库木库萨尔乡1920户（夏普鲁克村174户、库木库都克村179户、铁米热克村261户、托万塔瓦尔克斯克村118户、尤库日塔瓦尔克斯克村190户、库木库萨尔村238户、尤库日哈迪勒克村156户、托万库木库萨尔村227户、胡木旦买里村120户、库木博斯坦村155户、托万哈迪勒克村75户、吐孜鲁克喀什村27户）；昂格特勒克乡723户（阿克布鲁买村281户、昂格特勒克村64户、喀什博依村80户、托万昂格特勒克村298户）；库尔玛乡606户（红光村19户、恰斯村6户、铁热木买里斯村105户、塔木墩村96户、布喀帕塔村96户、萨其喀克村150户、博斯坦村28户、比尔艾格孜村71户、巴扎村35户）。</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建档立卡贫困户改厨项目涉及9088户，每户补助1000元，共计908.8万元。资金来源为：财政拨款。</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rPr>
        <w:t>（二）项目资金实际使用情况分析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建档立卡贫困户改厨项目每户补助1000元，共计908.8万元，项目实际支出907.59，剩余1.21万因受益对象死亡无法支付，剩余资金已退回财政，进行整合后，该项目全年预算数907.59万元，预算执行率100%。</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rPr>
        <w:t>（三）项目资金管理情况分析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本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rPr>
        <w:t>（一）项目组织情况分析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该项目属于入户项目,由本单位自行组织实施。实施过程均按照本单位制定的管理制度执行。</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rPr>
      </w:pPr>
      <w:r>
        <w:rPr>
          <w:rStyle w:val="18"/>
          <w:rFonts w:hint="eastAsia" w:ascii="楷体_GB2312" w:hAnsi="楷体" w:eastAsia="楷体_GB2312"/>
          <w:spacing w:val="-4"/>
          <w:sz w:val="32"/>
          <w:szCs w:val="32"/>
        </w:rPr>
        <w:t>（二）项目管理情况分析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项目实施过程中，安居富民办公室制定了《农村改厨实施方案》，保障项目的顺利实施。项目的实施遵守相关法律法规和业务管理规定，项目资料齐全并及时归档。不定期对项目进度情况进行督导检查，对检查过程中发现的问题及时督促整改，确保了项目按时保质完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四、项目绩效目标完成情况分析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本项目共设置一级指标3个，二级指标8个，三级指标17个，其中已完成三级指标13个，指标完成率为88.23%。</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（一）产出指标完成情况分析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1.项目完成数量</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施工中监督检查次数指标预期值≥10次，实际完成值10次，该指标权值分为4分，得分4分；补贴受益总户数指标预期值9088户，实际完成值9076户，该指标权值分为4分，得分3.99分，有12户受益对象死亡无法支付；兴边富民整村推进数量指标预期值≥125个，实际完成值125个，该指标权值分为4分，得分4分；运作项目实施方案指标预期值9套，实际完成值9套，该指标权值分为4分，得分4分；改善工程覆盖乡镇指标预期值9个，实际完成值9个，该指标权值分为4分，得分4分；建立监督检查机制指标预期值1套，实际完成值1套，该指标权值分为4分，得分4分；数量指标总权值分24分，得分23.99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2.项目完成质量</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改造后验收合格率指标预期值100%，实际完成值100%，该指标权值分为4分，得分4分；资金拨付及时率指标预期值≥95%，实际完成值95%，该指标权值分为4分，得分4分；补贴政策知晓率指标预期值100%，实际完成值100%，该指标权值分为4分，得分4分；质量指标总权值分12分，得分12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3.项目完成时效</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本项目预期开工时间2019年1月，实际完成值2019年3月开工，该指标权值分为4分，得分0分，项目开工时间存在调整；预期完工时间2019年6月，实际完成值2019年7月30日完成检查验收，该指标权值分为4分，得分0分项目开工时间存在调整；时效指标总权值分8分，得分0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4.项目成本节约情况</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每户补助金额指标预期值1000元，实际完成值1000元，该指标权值分为6分，得分6分；成本指标总权值分6分，得分6分。</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（二）效益指标完成情况分析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1.经济效益型指标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无</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2.社会效益指标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受益建档立卡贫困人口数指标预期值39632人，实际完成值39620人，该指标权值分为8分，得分7.99分，有12户受益对象死亡无法支付；提高农民生活质量指标预期值显著提高，实际完成值100%，该指标权值分为7分，得分7分；社会效益指标总权衡分值15分，得分15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3.生态效益性指标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default" w:ascii="仿宋_GB2312" w:hAnsi="仿宋" w:eastAsia="仿宋_GB2312" w:cs="Times New Roman"/>
          <w:b w:val="0"/>
          <w:spacing w:val="-4"/>
          <w:sz w:val="32"/>
          <w:szCs w:val="32"/>
          <w:lang w:val="en-US" w:eastAsia="zh-CN"/>
        </w:rPr>
      </w:pPr>
      <w:r>
        <w:rPr>
          <w:rStyle w:val="18"/>
          <w:rFonts w:hint="default" w:ascii="仿宋_GB2312" w:hAnsi="仿宋" w:eastAsia="仿宋_GB2312" w:cs="Times New Roman"/>
          <w:b w:val="0"/>
          <w:spacing w:val="-4"/>
          <w:sz w:val="32"/>
          <w:szCs w:val="32"/>
          <w:lang w:val="en-US" w:eastAsia="zh-CN"/>
        </w:rPr>
        <w:t>改善环境卫生脏乱差的现象</w:t>
      </w:r>
      <w:r>
        <w:rPr>
          <w:rStyle w:val="18"/>
          <w:rFonts w:hint="eastAsia" w:ascii="仿宋_GB2312" w:hAnsi="仿宋" w:eastAsia="仿宋_GB2312" w:cs="Times New Roman"/>
          <w:b w:val="0"/>
          <w:spacing w:val="-4"/>
          <w:sz w:val="32"/>
          <w:szCs w:val="32"/>
          <w:lang w:val="en-US" w:eastAsia="zh-CN"/>
        </w:rPr>
        <w:t>指标预期值有所改善，实际完成值100%，该指标权值分为7分，得分7分；生态效益指标总权衡分值7分，得分7分。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4.可持续影响指标</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设计厨房使用年限指标预期值15年，实际完成值15年，该指标权值分为8分，得分8分；可持续影响指标总权衡分值8分，得分8分。</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（三）满意度指标完成情况分析</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按计划完成项目实施，受益贫困户满意度指标预期值≥98%，实际完成值98%，该指标权值分为10分，得分10分；满意度指标总权衡分值10分，得分10分。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五、项目绩效目标未完成的原因分析和改进措施</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2019年本项目绩效目标全部达成，不存在未完成，今后对各项指标和指标值的设定要进一步优化、完善。</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六、综合评价结论</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经综合评价，本项目实施达成预期指标：资金使用、管理、保障到位，严格执行扶贫资金管理办法和县财政资金管理制度，能按照实施方案执行招投标管理办法，综合评价得分为91.98分。</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default"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七、项目实施的经验、问题、建议</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（一）主要经验及做法</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领导重视，组织健全。我县农村的改厨工作做到县主要领导亲自抓、党政领导直接抓，分管领导具体抓，建立了农村改厨领导小组。由分管副县长担任组长抓改厨工作。各村民小组配备了1名改厨专管员负责指导督促各农户的改厨工作，从上到下建立了农村改厨条线领导管理体系，定期召开会议，研究部署改厨工作及时解决具体问题，领导经常下村现场办公督促指导，他们经济比较溥弱，但村级领导非常重视，也能自己克服改厨资金不足的困难，把改厨工作搞上去，不拖全县的后腿。</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把握标准，全面铺开。农村的改厨工作涉及面广，工作量大，在改厨过程中，我们采取了以点带面与重点突破相结合、教育引导与行政措施相结合的方式，因地制宜，合理规划，统一标准，严格把好验收关。在实施过程中，我们抓住关键，重点解决资金不足的矛盾，为确保改厨的质量标准，明确具体做法和标准要求；统一组织验收，施工结束后，由县安居办会同村干部对改厨农户进行质量验收，对不合格的要返工改建，直到达标为止。</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职责分明，成效显著。人员到位，职责分明是农村改厨工作顺利进行的有力保证。因此我们在改厨工作中做到了行动快、措施实，从县到乡、村实行三级管理，建立了一支强有力的改厨施工管理队伍。下达改厨任务，定期组织验收、考核，并把改厨工作列入年终评比的条件之一。</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（二） 存在的问题</w:t>
      </w:r>
    </w:p>
    <w:p>
      <w:pPr>
        <w:pStyle w:val="2"/>
        <w:keepLines w:val="0"/>
        <w:pageBreakBefore w:val="0"/>
        <w:numPr>
          <w:ilvl w:val="0"/>
          <w:numId w:val="0"/>
        </w:numPr>
        <w:kinsoku/>
        <w:wordWrap/>
        <w:overflowPunct/>
        <w:topLinePunct w:val="0"/>
        <w:autoSpaceDE/>
        <w:autoSpaceDN/>
        <w:bidi w:val="0"/>
        <w:spacing w:line="560" w:lineRule="exact"/>
        <w:textAlignment w:val="auto"/>
        <w:rPr>
          <w:rFonts w:hint="eastAsia" w:ascii="仿宋_GB2312" w:eastAsia="仿宋_GB2312"/>
          <w:spacing w:val="-4"/>
          <w:sz w:val="32"/>
          <w:szCs w:val="32"/>
          <w:lang w:val="en-US" w:eastAsia="zh-CN"/>
        </w:rPr>
      </w:pPr>
      <w:r>
        <w:rPr>
          <w:rFonts w:hint="eastAsia" w:ascii="仿宋_GB2312" w:eastAsia="仿宋_GB2312"/>
          <w:spacing w:val="-4"/>
          <w:sz w:val="32"/>
          <w:szCs w:val="32"/>
          <w:lang w:val="en-US" w:eastAsia="zh-CN"/>
        </w:rPr>
        <w:t xml:space="preserve">  </w:t>
      </w:r>
      <w:r>
        <w:rPr>
          <w:rFonts w:hint="eastAsia" w:ascii="仿宋_GB2312" w:eastAsia="仿宋_GB2312"/>
          <w:b w:val="0"/>
          <w:bCs w:val="0"/>
          <w:spacing w:val="-4"/>
          <w:sz w:val="32"/>
          <w:szCs w:val="32"/>
          <w:lang w:val="en-US" w:eastAsia="zh-CN"/>
        </w:rPr>
        <w:t>无</w:t>
      </w:r>
    </w:p>
    <w:p>
      <w:pPr>
        <w:keepNext w:val="0"/>
        <w:keepLines w:val="0"/>
        <w:pageBreakBefore w:val="0"/>
        <w:widowControl w:val="0"/>
        <w:kinsoku/>
        <w:wordWrap/>
        <w:overflowPunct/>
        <w:topLinePunct w:val="0"/>
        <w:autoSpaceDE/>
        <w:autoSpaceDN/>
        <w:bidi w:val="0"/>
        <w:spacing w:line="560" w:lineRule="exact"/>
        <w:ind w:firstLine="627" w:firstLineChars="200"/>
        <w:textAlignment w:val="auto"/>
        <w:outlineLvl w:val="1"/>
        <w:rPr>
          <w:rStyle w:val="18"/>
          <w:rFonts w:hint="eastAsia" w:ascii="楷体_GB2312" w:hAnsi="楷体" w:eastAsia="楷体_GB2312"/>
          <w:spacing w:val="-4"/>
          <w:sz w:val="32"/>
          <w:szCs w:val="32"/>
          <w:lang w:val="en-US" w:eastAsia="zh-CN"/>
        </w:rPr>
      </w:pPr>
      <w:r>
        <w:rPr>
          <w:rStyle w:val="18"/>
          <w:rFonts w:hint="eastAsia" w:ascii="楷体_GB2312" w:hAnsi="楷体" w:eastAsia="楷体_GB2312"/>
          <w:spacing w:val="-4"/>
          <w:sz w:val="32"/>
          <w:szCs w:val="32"/>
          <w:lang w:val="en-US" w:eastAsia="zh-CN"/>
        </w:rPr>
        <w:t>（三） 建议</w:t>
      </w:r>
    </w:p>
    <w:p>
      <w:pPr>
        <w:keepLines w:val="0"/>
        <w:pageBreakBefore w:val="0"/>
        <w:numPr>
          <w:ilvl w:val="0"/>
          <w:numId w:val="0"/>
        </w:numPr>
        <w:kinsoku/>
        <w:wordWrap/>
        <w:overflowPunct/>
        <w:topLinePunct w:val="0"/>
        <w:autoSpaceDE/>
        <w:autoSpaceDN/>
        <w:bidi w:val="0"/>
        <w:spacing w:line="560" w:lineRule="exact"/>
        <w:ind w:leftChars="0"/>
        <w:textAlignment w:val="auto"/>
        <w:rPr>
          <w:rFonts w:hint="default"/>
          <w:sz w:val="32"/>
          <w:szCs w:val="32"/>
          <w:lang w:val="en-US" w:eastAsia="zh-CN"/>
        </w:rPr>
      </w:pPr>
      <w:r>
        <w:rPr>
          <w:rFonts w:hint="eastAsia"/>
          <w:sz w:val="32"/>
          <w:szCs w:val="32"/>
          <w:lang w:val="en-US" w:eastAsia="zh-CN"/>
        </w:rPr>
        <w:t xml:space="preserve"> </w:t>
      </w:r>
      <w:r>
        <w:rPr>
          <w:rFonts w:hint="eastAsia" w:ascii="仿宋_GB2312" w:eastAsia="仿宋_GB2312"/>
          <w:spacing w:val="-4"/>
          <w:sz w:val="32"/>
          <w:szCs w:val="32"/>
          <w:lang w:val="en-US" w:eastAsia="zh-CN"/>
        </w:rPr>
        <w:t xml:space="preserve"> 无</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lang w:val="en-US" w:eastAsia="zh-CN"/>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w:t>
      </w:r>
      <w:r>
        <w:rPr>
          <w:rStyle w:val="18"/>
          <w:rFonts w:hint="eastAsia" w:ascii="黑体" w:hAnsi="黑体" w:eastAsia="黑体"/>
          <w:b w:val="0"/>
          <w:spacing w:val="-4"/>
          <w:sz w:val="32"/>
          <w:szCs w:val="32"/>
          <w:lang w:val="en-US" w:eastAsia="zh-CN"/>
        </w:rPr>
        <w:t>绩效</w:t>
      </w:r>
      <w:r>
        <w:rPr>
          <w:rStyle w:val="18"/>
          <w:rFonts w:hint="eastAsia" w:ascii="黑体" w:hAnsi="黑体" w:eastAsia="黑体"/>
          <w:b w:val="0"/>
          <w:spacing w:val="-4"/>
          <w:sz w:val="32"/>
          <w:szCs w:val="32"/>
        </w:rPr>
        <w:t>评价工作</w:t>
      </w:r>
      <w:r>
        <w:rPr>
          <w:rStyle w:val="18"/>
          <w:rFonts w:hint="eastAsia" w:ascii="黑体" w:hAnsi="黑体" w:eastAsia="黑体"/>
          <w:b w:val="0"/>
          <w:spacing w:val="-4"/>
          <w:sz w:val="32"/>
          <w:szCs w:val="32"/>
          <w:lang w:val="en-US" w:eastAsia="zh-CN"/>
        </w:rPr>
        <w:t>有关说明</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本次评价通过文件研读、实地调研、数据分析等方式，全面了解了项目资金的使用效率和效果，项目管理过程规范，按照实施方案完成了预期绩效目标。通过开展预算绩效管理和绩效自评工作，建立科学合理的绩效机制，客观准确的评价我单位项目绩效，不断完善绩效评价体系，加强监督检查和考核工作。同时，通过开展自我评价来总结经验,为今后同类项目的执行与实施提供了参考依据。</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rPr>
          <w:rStyle w:val="18"/>
          <w:rFonts w:hint="eastAsia" w:ascii="仿宋_GB2312" w:hAnsi="仿宋" w:eastAsia="仿宋_GB2312" w:cs="Times New Roman"/>
          <w:b w:val="0"/>
          <w:spacing w:val="-4"/>
          <w:sz w:val="32"/>
          <w:szCs w:val="32"/>
          <w:lang w:val="en-US" w:eastAsia="zh-CN"/>
        </w:rPr>
      </w:pPr>
      <w:r>
        <w:rPr>
          <w:rStyle w:val="18"/>
          <w:rFonts w:hint="eastAsia" w:ascii="仿宋_GB2312" w:hAnsi="仿宋" w:eastAsia="仿宋_GB2312" w:cs="Times New Roman"/>
          <w:b w:val="0"/>
          <w:spacing w:val="-4"/>
          <w:sz w:val="32"/>
          <w:szCs w:val="32"/>
          <w:lang w:val="en-US" w:eastAsia="zh-CN"/>
        </w:rPr>
        <w:t>本项目绩效自评结果将根据上级要求时间予以公开，接受社会公众监督。</w:t>
      </w:r>
    </w:p>
    <w:p>
      <w:pPr>
        <w:keepNext w:val="0"/>
        <w:keepLines w:val="0"/>
        <w:pageBreakBefore w:val="0"/>
        <w:widowControl w:val="0"/>
        <w:kinsoku/>
        <w:wordWrap/>
        <w:overflowPunct/>
        <w:topLinePunct w:val="0"/>
        <w:autoSpaceDE/>
        <w:autoSpaceDN/>
        <w:bidi w:val="0"/>
        <w:spacing w:line="560" w:lineRule="exact"/>
        <w:ind w:firstLine="624" w:firstLineChars="200"/>
        <w:textAlignment w:val="auto"/>
        <w:outlineLvl w:val="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eastAsia="zh-CN"/>
        </w:rPr>
        <w:t>九、</w:t>
      </w:r>
      <w:r>
        <w:rPr>
          <w:rStyle w:val="18"/>
          <w:rFonts w:hint="eastAsia" w:ascii="黑体" w:hAnsi="黑体" w:eastAsia="黑体"/>
          <w:b w:val="0"/>
          <w:spacing w:val="-4"/>
          <w:sz w:val="32"/>
          <w:szCs w:val="32"/>
        </w:rPr>
        <w:t>附表</w:t>
      </w:r>
    </w:p>
    <w:p>
      <w:pPr>
        <w:keepNext w:val="0"/>
        <w:keepLines w:val="0"/>
        <w:pageBreakBefore w:val="0"/>
        <w:widowControl w:val="0"/>
        <w:kinsoku/>
        <w:wordWrap/>
        <w:overflowPunct/>
        <w:topLinePunct w:val="0"/>
        <w:autoSpaceDE/>
        <w:autoSpaceDN/>
        <w:bidi w:val="0"/>
        <w:spacing w:line="560" w:lineRule="exact"/>
        <w:ind w:firstLine="643" w:firstLineChars="200"/>
        <w:textAlignment w:val="auto"/>
        <w:outlineLvl w:val="0"/>
        <w:rPr>
          <w:sz w:val="32"/>
          <w:szCs w:val="32"/>
        </w:rPr>
      </w:pPr>
      <w:r>
        <w:rPr>
          <w:rFonts w:hint="eastAsia" w:ascii="仿宋" w:hAnsi="仿宋" w:eastAsia="仿宋" w:cs="仿宋"/>
          <w:b/>
          <w:bCs/>
          <w:color w:val="000000"/>
          <w:sz w:val="32"/>
          <w:szCs w:val="32"/>
        </w:rPr>
        <w:t>《</w:t>
      </w:r>
      <w:r>
        <w:rPr>
          <w:rFonts w:hint="eastAsia" w:ascii="仿宋" w:hAnsi="仿宋" w:eastAsia="仿宋" w:cs="仿宋"/>
          <w:b/>
          <w:bCs/>
          <w:color w:val="000000"/>
          <w:sz w:val="32"/>
          <w:szCs w:val="32"/>
          <w:lang w:val="en-US" w:eastAsia="zh-CN"/>
        </w:rPr>
        <w:t>绩效目标自评表</w:t>
      </w:r>
      <w:r>
        <w:rPr>
          <w:rFonts w:hint="eastAsia" w:ascii="仿宋" w:hAnsi="仿宋" w:eastAsia="仿宋" w:cs="仿宋"/>
          <w:b/>
          <w:bCs/>
          <w:color w:val="000000"/>
          <w:sz w:val="32"/>
          <w:szCs w:val="32"/>
        </w:rPr>
        <w:t>》</w:t>
      </w:r>
    </w:p>
    <w:p>
      <w:pPr>
        <w:pStyle w:val="2"/>
        <w:outlineLvl w:val="9"/>
        <w:rPr>
          <w:rFonts w:hint="eastAsia"/>
          <w:lang w:eastAsia="zh-CN"/>
        </w:rPr>
      </w:pPr>
    </w:p>
    <w:sectPr>
      <w:headerReference r:id="rId7" w:type="default"/>
      <w:headerReference r:id="rId8" w:type="even"/>
      <w:pgSz w:w="11906" w:h="16838"/>
      <w:pgMar w:top="1440" w:right="1558" w:bottom="1440" w:left="1800" w:header="851" w:footer="992" w:gutter="0"/>
      <w:pgNumType w:fmt="numberInDash" w:start="12"/>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819A2"/>
    <w:rsid w:val="00121AE4"/>
    <w:rsid w:val="00146AAD"/>
    <w:rsid w:val="001B3A40"/>
    <w:rsid w:val="001C1D3A"/>
    <w:rsid w:val="0031249D"/>
    <w:rsid w:val="004366A8"/>
    <w:rsid w:val="004A35B9"/>
    <w:rsid w:val="004E1174"/>
    <w:rsid w:val="00502BA7"/>
    <w:rsid w:val="005162F1"/>
    <w:rsid w:val="00535153"/>
    <w:rsid w:val="00554F82"/>
    <w:rsid w:val="0055767F"/>
    <w:rsid w:val="0056390D"/>
    <w:rsid w:val="005719B0"/>
    <w:rsid w:val="005D10D6"/>
    <w:rsid w:val="006B2AED"/>
    <w:rsid w:val="00855E3A"/>
    <w:rsid w:val="008D1AB1"/>
    <w:rsid w:val="00922CB9"/>
    <w:rsid w:val="00971C22"/>
    <w:rsid w:val="009E5CD9"/>
    <w:rsid w:val="00A10408"/>
    <w:rsid w:val="00A26421"/>
    <w:rsid w:val="00A4293B"/>
    <w:rsid w:val="00A67D50"/>
    <w:rsid w:val="00A8691A"/>
    <w:rsid w:val="00A94750"/>
    <w:rsid w:val="00AC1946"/>
    <w:rsid w:val="00B40063"/>
    <w:rsid w:val="00B41F61"/>
    <w:rsid w:val="00BA46E6"/>
    <w:rsid w:val="00C56C72"/>
    <w:rsid w:val="00C57EBA"/>
    <w:rsid w:val="00CA6457"/>
    <w:rsid w:val="00CF49A1"/>
    <w:rsid w:val="00D17F2E"/>
    <w:rsid w:val="00D30354"/>
    <w:rsid w:val="00DA4A92"/>
    <w:rsid w:val="00DE30B5"/>
    <w:rsid w:val="00DF42A0"/>
    <w:rsid w:val="00E305DF"/>
    <w:rsid w:val="00E769FE"/>
    <w:rsid w:val="00EA2CBE"/>
    <w:rsid w:val="00F32FEE"/>
    <w:rsid w:val="00FB10BB"/>
    <w:rsid w:val="017F0A63"/>
    <w:rsid w:val="02857FAF"/>
    <w:rsid w:val="061F2889"/>
    <w:rsid w:val="07013D54"/>
    <w:rsid w:val="0B246335"/>
    <w:rsid w:val="115958BF"/>
    <w:rsid w:val="13CC2B33"/>
    <w:rsid w:val="19B34ED2"/>
    <w:rsid w:val="1AD51D7F"/>
    <w:rsid w:val="1B2735CA"/>
    <w:rsid w:val="1CC11BBC"/>
    <w:rsid w:val="1FED02D1"/>
    <w:rsid w:val="1FF765A5"/>
    <w:rsid w:val="214937E0"/>
    <w:rsid w:val="24934C63"/>
    <w:rsid w:val="25BE5F06"/>
    <w:rsid w:val="27124693"/>
    <w:rsid w:val="275C5DB3"/>
    <w:rsid w:val="281074A4"/>
    <w:rsid w:val="2B1132ED"/>
    <w:rsid w:val="2D531FA0"/>
    <w:rsid w:val="2D5A2199"/>
    <w:rsid w:val="32F4220A"/>
    <w:rsid w:val="39C07BD0"/>
    <w:rsid w:val="3DC707AA"/>
    <w:rsid w:val="3F46707E"/>
    <w:rsid w:val="420B6B30"/>
    <w:rsid w:val="44C35DBC"/>
    <w:rsid w:val="482673DB"/>
    <w:rsid w:val="4B1B7DDC"/>
    <w:rsid w:val="4B394434"/>
    <w:rsid w:val="4DAA62BE"/>
    <w:rsid w:val="4E427E77"/>
    <w:rsid w:val="50042CD3"/>
    <w:rsid w:val="52765B4F"/>
    <w:rsid w:val="540B0806"/>
    <w:rsid w:val="57D66DB1"/>
    <w:rsid w:val="599835E5"/>
    <w:rsid w:val="5ACB31A9"/>
    <w:rsid w:val="5C437B7D"/>
    <w:rsid w:val="5EF42FC7"/>
    <w:rsid w:val="609B127A"/>
    <w:rsid w:val="64FA3AEF"/>
    <w:rsid w:val="68881A1A"/>
    <w:rsid w:val="69974C20"/>
    <w:rsid w:val="6B88550B"/>
    <w:rsid w:val="71DF4079"/>
    <w:rsid w:val="722066F9"/>
    <w:rsid w:val="76476C6E"/>
    <w:rsid w:val="76715CB1"/>
    <w:rsid w:val="79617870"/>
    <w:rsid w:val="7C3D6CBA"/>
    <w:rsid w:val="7E3C0ADF"/>
    <w:rsid w:val="7E9947BF"/>
    <w:rsid w:val="7EB008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qFormat="1"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24">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50"/>
    <w:semiHidden/>
    <w:unhideWhenUsed/>
    <w:qFormat/>
    <w:uiPriority w:val="99"/>
    <w:rPr>
      <w:sz w:val="18"/>
      <w:szCs w:val="18"/>
    </w:rPr>
  </w:style>
  <w:style w:type="paragraph" w:styleId="12">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5">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16">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FollowedHyperlink"/>
    <w:basedOn w:val="17"/>
    <w:semiHidden/>
    <w:unhideWhenUsed/>
    <w:qFormat/>
    <w:uiPriority w:val="99"/>
    <w:rPr>
      <w:color w:val="595757"/>
      <w:u w:val="none"/>
    </w:rPr>
  </w:style>
  <w:style w:type="character" w:styleId="20">
    <w:name w:val="Emphasis"/>
    <w:basedOn w:val="17"/>
    <w:qFormat/>
    <w:uiPriority w:val="20"/>
    <w:rPr>
      <w:rFonts w:asciiTheme="minorHAnsi" w:hAnsiTheme="minorHAnsi"/>
      <w:b/>
      <w:i/>
      <w:iCs/>
    </w:rPr>
  </w:style>
  <w:style w:type="character" w:styleId="21">
    <w:name w:val="Hyperlink"/>
    <w:basedOn w:val="17"/>
    <w:semiHidden/>
    <w:unhideWhenUsed/>
    <w:qFormat/>
    <w:uiPriority w:val="99"/>
    <w:rPr>
      <w:color w:val="595757"/>
      <w:u w:val="none"/>
    </w:rPr>
  </w:style>
  <w:style w:type="character" w:styleId="22">
    <w:name w:val="HTML Code"/>
    <w:basedOn w:val="17"/>
    <w:semiHidden/>
    <w:unhideWhenUsed/>
    <w:qFormat/>
    <w:uiPriority w:val="99"/>
    <w:rPr>
      <w:rFonts w:ascii="Courier New" w:hAnsi="Courier New"/>
      <w:sz w:val="20"/>
    </w:rPr>
  </w:style>
  <w:style w:type="character" w:styleId="23">
    <w:name w:val="HTML Cite"/>
    <w:basedOn w:val="17"/>
    <w:semiHidden/>
    <w:unhideWhenUsed/>
    <w:qFormat/>
    <w:uiPriority w:val="99"/>
  </w:style>
  <w:style w:type="character" w:customStyle="1" w:styleId="25">
    <w:name w:val="标题 1 字符"/>
    <w:basedOn w:val="17"/>
    <w:link w:val="3"/>
    <w:qFormat/>
    <w:uiPriority w:val="9"/>
    <w:rPr>
      <w:rFonts w:asciiTheme="majorHAnsi" w:hAnsiTheme="majorHAnsi" w:eastAsiaTheme="majorEastAsia"/>
      <w:b/>
      <w:bCs/>
      <w:kern w:val="32"/>
      <w:sz w:val="32"/>
      <w:szCs w:val="32"/>
    </w:rPr>
  </w:style>
  <w:style w:type="character" w:customStyle="1" w:styleId="26">
    <w:name w:val="标题 2 字符"/>
    <w:basedOn w:val="17"/>
    <w:link w:val="4"/>
    <w:semiHidden/>
    <w:qFormat/>
    <w:uiPriority w:val="9"/>
    <w:rPr>
      <w:rFonts w:asciiTheme="majorHAnsi" w:hAnsiTheme="majorHAnsi" w:eastAsiaTheme="majorEastAsia"/>
      <w:b/>
      <w:bCs/>
      <w:i/>
      <w:iCs/>
      <w:sz w:val="28"/>
      <w:szCs w:val="28"/>
    </w:rPr>
  </w:style>
  <w:style w:type="character" w:customStyle="1" w:styleId="27">
    <w:name w:val="标题 3 字符"/>
    <w:basedOn w:val="17"/>
    <w:link w:val="2"/>
    <w:semiHidden/>
    <w:qFormat/>
    <w:uiPriority w:val="9"/>
    <w:rPr>
      <w:rFonts w:asciiTheme="majorHAnsi" w:hAnsiTheme="majorHAnsi" w:eastAsiaTheme="majorEastAsia"/>
      <w:b/>
      <w:bCs/>
      <w:sz w:val="26"/>
      <w:szCs w:val="26"/>
    </w:rPr>
  </w:style>
  <w:style w:type="character" w:customStyle="1" w:styleId="28">
    <w:name w:val="标题 4 字符"/>
    <w:basedOn w:val="17"/>
    <w:link w:val="5"/>
    <w:semiHidden/>
    <w:qFormat/>
    <w:uiPriority w:val="9"/>
    <w:rPr>
      <w:b/>
      <w:bCs/>
      <w:sz w:val="28"/>
      <w:szCs w:val="28"/>
    </w:rPr>
  </w:style>
  <w:style w:type="character" w:customStyle="1" w:styleId="29">
    <w:name w:val="标题 5 字符"/>
    <w:basedOn w:val="17"/>
    <w:link w:val="6"/>
    <w:semiHidden/>
    <w:qFormat/>
    <w:uiPriority w:val="9"/>
    <w:rPr>
      <w:b/>
      <w:bCs/>
      <w:i/>
      <w:iCs/>
      <w:sz w:val="26"/>
      <w:szCs w:val="26"/>
    </w:rPr>
  </w:style>
  <w:style w:type="character" w:customStyle="1" w:styleId="30">
    <w:name w:val="标题 6 字符"/>
    <w:basedOn w:val="17"/>
    <w:link w:val="7"/>
    <w:semiHidden/>
    <w:qFormat/>
    <w:uiPriority w:val="9"/>
    <w:rPr>
      <w:b/>
      <w:bCs/>
    </w:rPr>
  </w:style>
  <w:style w:type="character" w:customStyle="1" w:styleId="31">
    <w:name w:val="标题 7 字符"/>
    <w:basedOn w:val="17"/>
    <w:link w:val="8"/>
    <w:semiHidden/>
    <w:qFormat/>
    <w:uiPriority w:val="9"/>
    <w:rPr>
      <w:sz w:val="24"/>
      <w:szCs w:val="24"/>
    </w:rPr>
  </w:style>
  <w:style w:type="character" w:customStyle="1" w:styleId="32">
    <w:name w:val="标题 8 字符"/>
    <w:basedOn w:val="17"/>
    <w:link w:val="9"/>
    <w:semiHidden/>
    <w:qFormat/>
    <w:uiPriority w:val="9"/>
    <w:rPr>
      <w:i/>
      <w:iCs/>
      <w:sz w:val="24"/>
      <w:szCs w:val="24"/>
    </w:rPr>
  </w:style>
  <w:style w:type="character" w:customStyle="1" w:styleId="33">
    <w:name w:val="标题 9 字符"/>
    <w:basedOn w:val="17"/>
    <w:link w:val="10"/>
    <w:semiHidden/>
    <w:qFormat/>
    <w:uiPriority w:val="9"/>
    <w:rPr>
      <w:rFonts w:asciiTheme="majorHAnsi" w:hAnsiTheme="majorHAnsi" w:eastAsiaTheme="majorEastAsia"/>
    </w:rPr>
  </w:style>
  <w:style w:type="character" w:customStyle="1" w:styleId="34">
    <w:name w:val="标题 字符"/>
    <w:basedOn w:val="17"/>
    <w:link w:val="16"/>
    <w:qFormat/>
    <w:uiPriority w:val="10"/>
    <w:rPr>
      <w:rFonts w:asciiTheme="majorHAnsi" w:hAnsiTheme="majorHAnsi" w:eastAsiaTheme="majorEastAsia"/>
      <w:b/>
      <w:bCs/>
      <w:kern w:val="28"/>
      <w:sz w:val="32"/>
      <w:szCs w:val="32"/>
    </w:rPr>
  </w:style>
  <w:style w:type="character" w:customStyle="1" w:styleId="35">
    <w:name w:val="副标题 字符"/>
    <w:basedOn w:val="17"/>
    <w:link w:val="14"/>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17"/>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17"/>
    <w:link w:val="40"/>
    <w:qFormat/>
    <w:uiPriority w:val="30"/>
    <w:rPr>
      <w:b/>
      <w:i/>
      <w:sz w:val="24"/>
    </w:rPr>
  </w:style>
  <w:style w:type="character" w:customStyle="1" w:styleId="42">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Intense Emphasis"/>
    <w:basedOn w:val="17"/>
    <w:qFormat/>
    <w:uiPriority w:val="21"/>
    <w:rPr>
      <w:b/>
      <w:i/>
      <w:sz w:val="24"/>
      <w:szCs w:val="24"/>
      <w:u w:val="single"/>
    </w:rPr>
  </w:style>
  <w:style w:type="character" w:customStyle="1" w:styleId="44">
    <w:name w:val="Subtle Reference"/>
    <w:basedOn w:val="17"/>
    <w:qFormat/>
    <w:uiPriority w:val="31"/>
    <w:rPr>
      <w:sz w:val="24"/>
      <w:szCs w:val="24"/>
      <w:u w:val="single"/>
    </w:rPr>
  </w:style>
  <w:style w:type="character" w:customStyle="1" w:styleId="45">
    <w:name w:val="Intense Reference"/>
    <w:basedOn w:val="17"/>
    <w:qFormat/>
    <w:uiPriority w:val="32"/>
    <w:rPr>
      <w:b/>
      <w:sz w:val="24"/>
      <w:u w:val="single"/>
    </w:rPr>
  </w:style>
  <w:style w:type="character" w:customStyle="1" w:styleId="46">
    <w:name w:val="Book Title"/>
    <w:basedOn w:val="17"/>
    <w:qFormat/>
    <w:uiPriority w:val="33"/>
    <w:rPr>
      <w:rFonts w:asciiTheme="majorHAnsi" w:hAnsiTheme="majorHAnsi" w:eastAsiaTheme="majorEastAsia"/>
      <w:b/>
      <w:i/>
      <w:sz w:val="24"/>
      <w:szCs w:val="24"/>
    </w:rPr>
  </w:style>
  <w:style w:type="paragraph" w:customStyle="1" w:styleId="47">
    <w:name w:val="TOC Heading"/>
    <w:basedOn w:val="3"/>
    <w:next w:val="1"/>
    <w:semiHidden/>
    <w:unhideWhenUsed/>
    <w:qFormat/>
    <w:uiPriority w:val="39"/>
    <w:pPr>
      <w:outlineLvl w:val="9"/>
    </w:pPr>
    <w:rPr>
      <w:lang w:eastAsia="en-US" w:bidi="en-US"/>
    </w:rPr>
  </w:style>
  <w:style w:type="character" w:customStyle="1" w:styleId="48">
    <w:name w:val="页眉 字符"/>
    <w:basedOn w:val="17"/>
    <w:link w:val="13"/>
    <w:qFormat/>
    <w:uiPriority w:val="99"/>
    <w:rPr>
      <w:rFonts w:ascii="Calibri" w:hAnsi="Calibri" w:eastAsia="宋体"/>
      <w:kern w:val="2"/>
      <w:sz w:val="18"/>
      <w:szCs w:val="18"/>
    </w:rPr>
  </w:style>
  <w:style w:type="character" w:customStyle="1" w:styleId="49">
    <w:name w:val="页脚 字符"/>
    <w:basedOn w:val="17"/>
    <w:link w:val="12"/>
    <w:qFormat/>
    <w:uiPriority w:val="99"/>
    <w:rPr>
      <w:rFonts w:ascii="Calibri" w:hAnsi="Calibri" w:eastAsia="宋体"/>
      <w:kern w:val="2"/>
      <w:sz w:val="18"/>
      <w:szCs w:val="18"/>
    </w:rPr>
  </w:style>
  <w:style w:type="character" w:customStyle="1" w:styleId="50">
    <w:name w:val="批注框文本 字符"/>
    <w:basedOn w:val="17"/>
    <w:link w:val="11"/>
    <w:semiHidden/>
    <w:qFormat/>
    <w:uiPriority w:val="99"/>
    <w:rPr>
      <w:rFonts w:ascii="Times New Roman" w:hAnsi="Times New Roman" w:eastAsia="宋体"/>
      <w:kern w:val="2"/>
      <w:sz w:val="18"/>
      <w:szCs w:val="18"/>
    </w:rPr>
  </w:style>
  <w:style w:type="character" w:customStyle="1" w:styleId="51">
    <w:name w:val="font61"/>
    <w:qFormat/>
    <w:uiPriority w:val="0"/>
    <w:rPr>
      <w:rFonts w:hint="eastAsia" w:ascii="宋体" w:hAnsi="宋体" w:eastAsia="宋体" w:cs="宋体"/>
      <w:b/>
      <w:color w:val="000000"/>
      <w:sz w:val="32"/>
      <w:szCs w:val="32"/>
      <w:u w:val="none"/>
    </w:rPr>
  </w:style>
  <w:style w:type="character" w:customStyle="1" w:styleId="52">
    <w:name w:val="font51"/>
    <w:basedOn w:val="17"/>
    <w:qFormat/>
    <w:uiPriority w:val="0"/>
    <w:rPr>
      <w:rFonts w:hint="default" w:ascii="仿宋_GB2312" w:eastAsia="仿宋_GB2312" w:cs="仿宋_GB2312"/>
      <w:b/>
      <w:color w:val="000000"/>
      <w:sz w:val="32"/>
      <w:szCs w:val="32"/>
      <w:u w:val="none"/>
    </w:rPr>
  </w:style>
  <w:style w:type="character" w:customStyle="1" w:styleId="53">
    <w:name w:val="font31"/>
    <w:basedOn w:val="17"/>
    <w:qFormat/>
    <w:uiPriority w:val="0"/>
    <w:rPr>
      <w:rFonts w:hint="eastAsia" w:ascii="宋体" w:hAnsi="宋体" w:eastAsia="宋体" w:cs="宋体"/>
      <w:color w:val="000000"/>
      <w:sz w:val="32"/>
      <w:szCs w:val="32"/>
      <w:u w:val="none"/>
    </w:rPr>
  </w:style>
  <w:style w:type="character" w:customStyle="1" w:styleId="54">
    <w:name w:val="font11"/>
    <w:basedOn w:val="17"/>
    <w:qFormat/>
    <w:uiPriority w:val="0"/>
    <w:rPr>
      <w:rFonts w:hint="eastAsia" w:ascii="宋体" w:hAnsi="宋体" w:eastAsia="宋体" w:cs="宋体"/>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6.xml"/><Relationship Id="rId7" Type="http://schemas.openxmlformats.org/officeDocument/2006/relationships/header" Target="header5.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219</Words>
  <Characters>1251</Characters>
  <Lines>10</Lines>
  <Paragraphs>2</Paragraphs>
  <TotalTime>13</TotalTime>
  <ScaleCrop>false</ScaleCrop>
  <LinksUpToDate>false</LinksUpToDate>
  <CharactersWithSpaces>1468</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2019-10-31T09:00:00Z</dcterms:created>
  <dc:creator>赵 恺（预算处）</dc:creator>
  <cp:lastModifiedBy>Administrator</cp:lastModifiedBy>
  <cp:lastPrinted>2019-12-26T08:06:00Z</cp:lastPrinted>
  <dcterms:modified xsi:type="dcterms:W3CDTF">2020-05-02T10:24:27Z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