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黑体" w:hAnsi="黑体" w:eastAsia="黑体" w:cs="宋体"/>
          <w:kern w:val="0"/>
          <w:sz w:val="28"/>
          <w:szCs w:val="28"/>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outlineLvl w:val="0"/>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喀什地区麦盖提县扶贫项目资金支出</w:t>
      </w:r>
    </w:p>
    <w:p>
      <w:pPr>
        <w:spacing w:line="540" w:lineRule="exact"/>
        <w:jc w:val="center"/>
        <w:outlineLvl w:val="0"/>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绩效自评报告</w:t>
      </w:r>
    </w:p>
    <w:p>
      <w:pPr>
        <w:spacing w:line="540" w:lineRule="exact"/>
        <w:jc w:val="center"/>
        <w:rPr>
          <w:rFonts w:ascii="华文中宋" w:hAnsi="华文中宋" w:eastAsia="华文中宋" w:cs="宋体"/>
          <w:b/>
          <w:kern w:val="0"/>
          <w:sz w:val="52"/>
          <w:szCs w:val="52"/>
        </w:rPr>
      </w:pPr>
    </w:p>
    <w:p>
      <w:pPr>
        <w:spacing w:line="540" w:lineRule="exact"/>
        <w:jc w:val="center"/>
        <w:outlineLvl w:val="0"/>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both"/>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outlineLvl w:val="0"/>
        <w:rPr>
          <w:rFonts w:hint="eastAsia" w:ascii="仿宋" w:hAnsi="仿宋" w:eastAsia="仿宋" w:cs="仿宋"/>
          <w:kern w:val="0"/>
          <w:sz w:val="32"/>
          <w:szCs w:val="32"/>
          <w:lang w:val="en-US" w:eastAsia="zh-CN"/>
        </w:rPr>
      </w:pPr>
      <w:r>
        <w:rPr>
          <w:rFonts w:hint="eastAsia" w:hAnsi="宋体" w:eastAsia="仿宋_GB2312" w:cs="宋体"/>
          <w:kern w:val="0"/>
          <w:sz w:val="36"/>
          <w:szCs w:val="36"/>
        </w:rPr>
        <w:t xml:space="preserve">   </w:t>
      </w:r>
      <w:r>
        <w:rPr>
          <w:rFonts w:hint="eastAsia" w:ascii="仿宋" w:hAnsi="仿宋" w:eastAsia="仿宋" w:cs="仿宋"/>
          <w:kern w:val="0"/>
          <w:sz w:val="32"/>
          <w:szCs w:val="32"/>
        </w:rPr>
        <w:t xml:space="preserve">  项目名称：</w:t>
      </w:r>
      <w:r>
        <w:rPr>
          <w:rFonts w:hint="eastAsia" w:ascii="仿宋" w:hAnsi="仿宋" w:eastAsia="仿宋" w:cs="仿宋"/>
          <w:kern w:val="0"/>
          <w:sz w:val="32"/>
          <w:szCs w:val="32"/>
          <w:lang w:val="en-US" w:eastAsia="zh-CN"/>
        </w:rPr>
        <w:t>2019年农村危房改造项目（非建档立卡贫困户）</w:t>
      </w:r>
    </w:p>
    <w:p>
      <w:pPr>
        <w:spacing w:line="700" w:lineRule="exact"/>
        <w:jc w:val="left"/>
        <w:outlineLvl w:val="0"/>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 xml:space="preserve">     实施单位（公章）：</w:t>
      </w:r>
      <w:r>
        <w:rPr>
          <w:rFonts w:hint="eastAsia" w:ascii="仿宋" w:hAnsi="仿宋" w:eastAsia="仿宋" w:cs="仿宋"/>
          <w:kern w:val="0"/>
          <w:sz w:val="32"/>
          <w:szCs w:val="32"/>
          <w:lang w:val="en-US" w:eastAsia="zh-CN"/>
        </w:rPr>
        <w:t>麦盖提县抗震安居办</w:t>
      </w:r>
    </w:p>
    <w:p>
      <w:pPr>
        <w:spacing w:line="700" w:lineRule="exact"/>
        <w:ind w:firstLine="755" w:firstLineChars="236"/>
        <w:jc w:val="left"/>
        <w:outlineLvl w:val="0"/>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主管部门（公章）：</w:t>
      </w:r>
      <w:r>
        <w:rPr>
          <w:rFonts w:hint="eastAsia" w:ascii="仿宋" w:hAnsi="仿宋" w:eastAsia="仿宋" w:cs="仿宋"/>
          <w:kern w:val="0"/>
          <w:sz w:val="32"/>
          <w:szCs w:val="32"/>
          <w:lang w:val="en-US" w:eastAsia="zh-CN"/>
        </w:rPr>
        <w:t>麦盖提县住房和城乡建设局</w:t>
      </w:r>
    </w:p>
    <w:p>
      <w:pPr>
        <w:spacing w:line="700" w:lineRule="exact"/>
        <w:ind w:firstLine="755" w:firstLineChars="236"/>
        <w:jc w:val="left"/>
        <w:outlineLvl w:val="0"/>
        <w:rPr>
          <w:rFonts w:hint="eastAsia" w:ascii="仿宋" w:hAnsi="仿宋" w:eastAsia="仿宋" w:cs="仿宋"/>
          <w:kern w:val="0"/>
          <w:sz w:val="32"/>
          <w:szCs w:val="32"/>
        </w:rPr>
      </w:pPr>
      <w:r>
        <w:rPr>
          <w:rFonts w:hint="eastAsia" w:ascii="仿宋" w:hAnsi="仿宋" w:eastAsia="仿宋" w:cs="仿宋"/>
          <w:kern w:val="0"/>
          <w:sz w:val="32"/>
          <w:szCs w:val="32"/>
        </w:rPr>
        <w:t>项目负责人（签章）：陶万林</w:t>
      </w:r>
    </w:p>
    <w:p>
      <w:pPr>
        <w:spacing w:line="700" w:lineRule="exact"/>
        <w:ind w:firstLine="755" w:firstLineChars="236"/>
        <w:jc w:val="left"/>
        <w:outlineLvl w:val="0"/>
        <w:rPr>
          <w:rFonts w:hint="eastAsia" w:ascii="仿宋" w:hAnsi="仿宋" w:eastAsia="仿宋" w:cs="仿宋"/>
          <w:kern w:val="0"/>
          <w:sz w:val="32"/>
          <w:szCs w:val="32"/>
        </w:rPr>
      </w:pPr>
      <w:r>
        <w:rPr>
          <w:rFonts w:hint="eastAsia" w:ascii="仿宋" w:hAnsi="仿宋" w:eastAsia="仿宋" w:cs="仿宋"/>
          <w:kern w:val="0"/>
          <w:sz w:val="32"/>
          <w:szCs w:val="32"/>
        </w:rPr>
        <w:t>填报时间：</w:t>
      </w:r>
      <w:r>
        <w:rPr>
          <w:rFonts w:hint="eastAsia" w:ascii="仿宋" w:hAnsi="仿宋" w:eastAsia="仿宋" w:cs="仿宋"/>
          <w:kern w:val="0"/>
          <w:sz w:val="32"/>
          <w:szCs w:val="32"/>
          <w:lang w:val="en-US" w:eastAsia="zh-CN"/>
        </w:rPr>
        <w:t>2019</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12</w:t>
      </w:r>
      <w:r>
        <w:rPr>
          <w:rFonts w:hint="eastAsia" w:ascii="仿宋" w:hAnsi="仿宋" w:eastAsia="仿宋" w:cs="仿宋"/>
          <w:kern w:val="0"/>
          <w:sz w:val="32"/>
          <w:szCs w:val="32"/>
        </w:rPr>
        <w:t>月</w:t>
      </w:r>
      <w:r>
        <w:rPr>
          <w:rFonts w:hint="eastAsia" w:ascii="仿宋" w:hAnsi="仿宋" w:eastAsia="仿宋" w:cs="仿宋"/>
          <w:kern w:val="0"/>
          <w:sz w:val="32"/>
          <w:szCs w:val="32"/>
          <w:lang w:val="en-US" w:eastAsia="zh-CN"/>
        </w:rPr>
        <w:t>31</w:t>
      </w:r>
      <w:r>
        <w:rPr>
          <w:rFonts w:hint="eastAsia" w:ascii="仿宋" w:hAnsi="仿宋" w:eastAsia="仿宋" w:cs="仿宋"/>
          <w:kern w:val="0"/>
          <w:sz w:val="32"/>
          <w:szCs w:val="32"/>
        </w:rPr>
        <w:t>日</w:t>
      </w:r>
    </w:p>
    <w:p>
      <w:pPr>
        <w:spacing w:line="540" w:lineRule="exact"/>
        <w:jc w:val="both"/>
        <w:rPr>
          <w:rFonts w:ascii="方正小标宋_GBK" w:hAnsi="华文中宋" w:eastAsia="方正小标宋_GBK" w:cs="宋体"/>
          <w:bCs/>
          <w:kern w:val="0"/>
          <w:sz w:val="48"/>
          <w:szCs w:val="48"/>
        </w:rPr>
      </w:pPr>
    </w:p>
    <w:p>
      <w:pPr>
        <w:spacing w:line="360" w:lineRule="auto"/>
        <w:ind w:firstLine="624" w:firstLineChars="200"/>
        <w:outlineLvl w:val="0"/>
        <w:rPr>
          <w:rStyle w:val="18"/>
          <w:rFonts w:hint="eastAsia" w:ascii="黑体" w:hAnsi="黑体" w:eastAsia="黑体"/>
          <w:b w:val="0"/>
          <w:spacing w:val="-4"/>
          <w:sz w:val="32"/>
          <w:szCs w:val="32"/>
        </w:rPr>
      </w:pPr>
    </w:p>
    <w:p>
      <w:pPr>
        <w:keepLines w:val="0"/>
        <w:pageBreakBefore w:val="0"/>
        <w:kinsoku/>
        <w:wordWrap/>
        <w:overflowPunct/>
        <w:topLinePunct w:val="0"/>
        <w:autoSpaceDE/>
        <w:autoSpaceDN/>
        <w:bidi w:val="0"/>
        <w:spacing w:line="560" w:lineRule="exact"/>
        <w:ind w:firstLine="624" w:firstLineChars="200"/>
        <w:textAlignment w:val="auto"/>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Lines w:val="0"/>
        <w:pageBreakBefore w:val="0"/>
        <w:kinsoku/>
        <w:wordWrap/>
        <w:overflowPunct/>
        <w:topLinePunct w:val="0"/>
        <w:autoSpaceDE/>
        <w:autoSpaceDN/>
        <w:bidi w:val="0"/>
        <w:spacing w:line="560" w:lineRule="exact"/>
        <w:ind w:firstLine="627" w:firstLineChars="200"/>
        <w:textAlignment w:val="auto"/>
        <w:outlineLvl w:val="1"/>
        <w:rPr>
          <w:rFonts w:hint="eastAsia" w:ascii="楷体" w:hAnsi="楷体" w:eastAsia="楷体" w:cs="楷体"/>
          <w:b/>
          <w:bCs/>
          <w:spacing w:val="-4"/>
          <w:kern w:val="0"/>
          <w:sz w:val="32"/>
          <w:szCs w:val="32"/>
          <w:lang w:val="en-US" w:eastAsia="zh-CN" w:bidi="ar-SA"/>
        </w:rPr>
      </w:pPr>
      <w:r>
        <w:rPr>
          <w:rFonts w:hint="eastAsia" w:ascii="楷体" w:hAnsi="楷体" w:eastAsia="楷体" w:cs="楷体"/>
          <w:b/>
          <w:bCs/>
          <w:spacing w:val="-4"/>
          <w:kern w:val="0"/>
          <w:sz w:val="32"/>
          <w:szCs w:val="32"/>
          <w:lang w:val="en-US" w:eastAsia="zh-CN" w:bidi="ar-SA"/>
        </w:rPr>
        <w:t>（一）项目单位基本情况</w:t>
      </w:r>
    </w:p>
    <w:p>
      <w:pPr>
        <w:keepLines w:val="0"/>
        <w:pageBreakBefore w:val="0"/>
        <w:kinsoku/>
        <w:wordWrap/>
        <w:overflowPunct/>
        <w:topLinePunct w:val="0"/>
        <w:autoSpaceDE/>
        <w:autoSpaceDN/>
        <w:bidi w:val="0"/>
        <w:spacing w:line="560" w:lineRule="exact"/>
        <w:ind w:firstLine="624" w:firstLineChars="200"/>
        <w:textAlignment w:val="auto"/>
        <w:rPr>
          <w:rStyle w:val="18"/>
          <w:rFonts w:hint="eastAsia" w:ascii="仿宋" w:hAnsi="仿宋" w:eastAsia="仿宋" w:cs="仿宋"/>
          <w:b w:val="0"/>
          <w:spacing w:val="-4"/>
          <w:sz w:val="32"/>
          <w:szCs w:val="32"/>
          <w:lang w:val="en-US" w:eastAsia="zh-CN"/>
        </w:rPr>
      </w:pPr>
      <w:r>
        <w:rPr>
          <w:rStyle w:val="18"/>
          <w:rFonts w:hint="eastAsia" w:ascii="仿宋" w:hAnsi="仿宋" w:eastAsia="仿宋" w:cs="仿宋"/>
          <w:b w:val="0"/>
          <w:spacing w:val="-4"/>
          <w:sz w:val="32"/>
          <w:szCs w:val="32"/>
          <w:lang w:val="en-US" w:eastAsia="zh-CN"/>
        </w:rPr>
        <w:t>1、单位职能：农村危房改造项目牵头单位为麦盖提县住房和城乡建设安居富民领导小组办公室，主要职责是负责农村危房改造工作的协调、监督、指导等；农村危房改造的责任主体是乡镇（场）政府，主要负责危房改造工作的具体实施。</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lang w:val="en-US" w:eastAsia="zh-CN"/>
        </w:rPr>
      </w:pPr>
      <w:r>
        <w:rPr>
          <w:rStyle w:val="18"/>
          <w:rFonts w:hint="eastAsia" w:ascii="仿宋" w:hAnsi="仿宋" w:eastAsia="仿宋" w:cs="仿宋"/>
          <w:b w:val="0"/>
          <w:spacing w:val="-4"/>
          <w:sz w:val="32"/>
          <w:szCs w:val="32"/>
          <w:lang w:val="en-US" w:eastAsia="zh-CN"/>
        </w:rPr>
        <w:t>2、单位人员情况：编制3名工作人员、其中：办公室主任一名，一般干部两名，现无在编干部，空编3名，从各单位抽调5名干部；</w:t>
      </w:r>
    </w:p>
    <w:p>
      <w:pPr>
        <w:keepLines w:val="0"/>
        <w:pageBreakBefore w:val="0"/>
        <w:kinsoku/>
        <w:wordWrap/>
        <w:overflowPunct/>
        <w:topLinePunct w:val="0"/>
        <w:autoSpaceDE/>
        <w:autoSpaceDN/>
        <w:bidi w:val="0"/>
        <w:spacing w:line="560" w:lineRule="exact"/>
        <w:ind w:firstLine="627" w:firstLineChars="200"/>
        <w:textAlignment w:val="auto"/>
        <w:outlineLvl w:val="1"/>
        <w:rPr>
          <w:rFonts w:hint="eastAsia" w:ascii="楷体" w:hAnsi="楷体" w:eastAsia="楷体" w:cs="楷体"/>
          <w:b/>
          <w:bCs/>
          <w:spacing w:val="-4"/>
          <w:kern w:val="0"/>
          <w:sz w:val="32"/>
          <w:szCs w:val="32"/>
          <w:lang w:val="en-US" w:eastAsia="zh-CN" w:bidi="ar-SA"/>
        </w:rPr>
      </w:pPr>
      <w:r>
        <w:rPr>
          <w:rFonts w:hint="eastAsia" w:ascii="楷体" w:hAnsi="楷体" w:eastAsia="楷体" w:cs="楷体"/>
          <w:b/>
          <w:bCs/>
          <w:spacing w:val="-4"/>
          <w:kern w:val="0"/>
          <w:sz w:val="32"/>
          <w:szCs w:val="32"/>
          <w:lang w:val="en-US" w:eastAsia="zh-CN" w:bidi="ar-SA"/>
        </w:rPr>
        <w:t>（二）项目简介</w:t>
      </w:r>
    </w:p>
    <w:p>
      <w:pPr>
        <w:keepLines w:val="0"/>
        <w:pageBreakBefore w:val="0"/>
        <w:kinsoku/>
        <w:wordWrap/>
        <w:overflowPunct/>
        <w:topLinePunct w:val="0"/>
        <w:autoSpaceDE/>
        <w:autoSpaceDN/>
        <w:bidi w:val="0"/>
        <w:spacing w:line="560" w:lineRule="exact"/>
        <w:ind w:firstLine="624" w:firstLineChars="200"/>
        <w:textAlignment w:val="auto"/>
        <w:rPr>
          <w:rStyle w:val="18"/>
          <w:rFonts w:hint="eastAsia" w:ascii="仿宋" w:hAnsi="仿宋" w:eastAsia="仿宋" w:cs="仿宋"/>
          <w:b w:val="0"/>
          <w:spacing w:val="-4"/>
          <w:sz w:val="32"/>
          <w:szCs w:val="32"/>
          <w:lang w:val="en-US" w:eastAsia="zh-CN"/>
        </w:rPr>
      </w:pPr>
      <w:r>
        <w:rPr>
          <w:rStyle w:val="18"/>
          <w:rFonts w:hint="eastAsia" w:ascii="仿宋" w:hAnsi="仿宋" w:eastAsia="仿宋" w:cs="仿宋"/>
          <w:b w:val="0"/>
          <w:spacing w:val="-4"/>
          <w:sz w:val="32"/>
          <w:szCs w:val="32"/>
          <w:lang w:val="en-US" w:eastAsia="zh-CN"/>
        </w:rPr>
        <w:t>1、为我县5478户的危房重建改造提供补助，每户补助2.8万元，其中319户四类人员补助3.4万元。</w:t>
      </w:r>
    </w:p>
    <w:p>
      <w:pPr>
        <w:keepLines w:val="0"/>
        <w:pageBreakBefore w:val="0"/>
        <w:kinsoku/>
        <w:wordWrap/>
        <w:overflowPunct/>
        <w:topLinePunct w:val="0"/>
        <w:autoSpaceDE/>
        <w:autoSpaceDN/>
        <w:bidi w:val="0"/>
        <w:spacing w:line="560" w:lineRule="exact"/>
        <w:ind w:firstLine="624" w:firstLineChars="200"/>
        <w:textAlignment w:val="auto"/>
        <w:rPr>
          <w:rStyle w:val="18"/>
          <w:rFonts w:hint="eastAsia" w:ascii="仿宋" w:hAnsi="仿宋" w:eastAsia="仿宋" w:cs="仿宋"/>
          <w:b w:val="0"/>
          <w:spacing w:val="-4"/>
          <w:sz w:val="32"/>
          <w:szCs w:val="32"/>
          <w:lang w:val="en-US" w:eastAsia="zh-CN"/>
        </w:rPr>
      </w:pPr>
      <w:r>
        <w:rPr>
          <w:rStyle w:val="18"/>
          <w:rFonts w:hint="eastAsia" w:ascii="仿宋" w:hAnsi="仿宋" w:eastAsia="仿宋" w:cs="仿宋"/>
          <w:b w:val="0"/>
          <w:spacing w:val="-4"/>
          <w:sz w:val="32"/>
          <w:szCs w:val="32"/>
          <w:lang w:val="en-US" w:eastAsia="zh-CN"/>
        </w:rPr>
        <w:t>2、通过实施农村危房改造工作，有效地改善了农村贫困农户居住条件，实现贫困户群众安居梦想。从此以后，农民群众再也不用为突发性的自然灾害而担惊受怕，人民群众的生命财产安全得到了保障，为社会主义新农村建设打下基础。</w:t>
      </w:r>
    </w:p>
    <w:p>
      <w:pPr>
        <w:keepLines w:val="0"/>
        <w:pageBreakBefore w:val="0"/>
        <w:kinsoku/>
        <w:wordWrap/>
        <w:overflowPunct/>
        <w:topLinePunct w:val="0"/>
        <w:autoSpaceDE/>
        <w:autoSpaceDN/>
        <w:bidi w:val="0"/>
        <w:spacing w:line="560" w:lineRule="exact"/>
        <w:ind w:firstLine="627" w:firstLineChars="200"/>
        <w:textAlignment w:val="auto"/>
        <w:outlineLvl w:val="1"/>
        <w:rPr>
          <w:rFonts w:hint="eastAsia" w:ascii="楷体" w:hAnsi="楷体" w:eastAsia="楷体" w:cs="楷体"/>
          <w:b/>
          <w:bCs/>
          <w:spacing w:val="-4"/>
          <w:kern w:val="0"/>
          <w:sz w:val="32"/>
          <w:szCs w:val="32"/>
          <w:lang w:val="en-US" w:eastAsia="zh-CN" w:bidi="ar-SA"/>
        </w:rPr>
      </w:pPr>
      <w:r>
        <w:rPr>
          <w:rFonts w:hint="eastAsia" w:ascii="楷体" w:hAnsi="楷体" w:eastAsia="楷体" w:cs="楷体"/>
          <w:b/>
          <w:bCs/>
          <w:spacing w:val="-4"/>
          <w:kern w:val="0"/>
          <w:sz w:val="32"/>
          <w:szCs w:val="32"/>
          <w:lang w:val="en-US" w:eastAsia="zh-CN" w:bidi="ar-SA"/>
        </w:rPr>
        <w:t>（三）项目预算绩效目标设定情况</w:t>
      </w:r>
    </w:p>
    <w:p>
      <w:pPr>
        <w:keepLines w:val="0"/>
        <w:pageBreakBefore w:val="0"/>
        <w:kinsoku/>
        <w:wordWrap/>
        <w:overflowPunct/>
        <w:topLinePunct w:val="0"/>
        <w:autoSpaceDE/>
        <w:autoSpaceDN/>
        <w:bidi w:val="0"/>
        <w:spacing w:line="560" w:lineRule="exact"/>
        <w:ind w:firstLine="624" w:firstLineChars="200"/>
        <w:textAlignment w:val="auto"/>
        <w:rPr>
          <w:rStyle w:val="18"/>
          <w:rFonts w:hint="eastAsia" w:ascii="仿宋" w:hAnsi="仿宋" w:eastAsia="仿宋" w:cs="仿宋"/>
          <w:b w:val="0"/>
          <w:spacing w:val="-4"/>
          <w:sz w:val="32"/>
          <w:szCs w:val="32"/>
          <w:lang w:val="en-US" w:eastAsia="zh-CN"/>
        </w:rPr>
      </w:pPr>
      <w:r>
        <w:rPr>
          <w:rStyle w:val="18"/>
          <w:rFonts w:hint="eastAsia" w:ascii="仿宋" w:hAnsi="仿宋" w:eastAsia="仿宋" w:cs="仿宋"/>
          <w:b w:val="0"/>
          <w:spacing w:val="-4"/>
          <w:sz w:val="32"/>
          <w:szCs w:val="32"/>
          <w:lang w:val="en-US" w:eastAsia="zh-CN"/>
        </w:rPr>
        <w:t>1、预期目标及阶段性目标</w:t>
      </w:r>
    </w:p>
    <w:p>
      <w:pPr>
        <w:keepLines w:val="0"/>
        <w:pageBreakBefore w:val="0"/>
        <w:kinsoku/>
        <w:wordWrap/>
        <w:overflowPunct/>
        <w:topLinePunct w:val="0"/>
        <w:autoSpaceDE/>
        <w:autoSpaceDN/>
        <w:bidi w:val="0"/>
        <w:spacing w:line="560" w:lineRule="exact"/>
        <w:ind w:firstLine="624" w:firstLineChars="200"/>
        <w:textAlignment w:val="auto"/>
        <w:rPr>
          <w:rStyle w:val="18"/>
          <w:rFonts w:hint="eastAsia" w:ascii="仿宋" w:hAnsi="仿宋" w:eastAsia="仿宋" w:cs="仿宋"/>
          <w:b w:val="0"/>
          <w:spacing w:val="-4"/>
          <w:sz w:val="32"/>
          <w:szCs w:val="32"/>
          <w:lang w:val="en-US" w:eastAsia="zh-CN"/>
        </w:rPr>
      </w:pPr>
      <w:r>
        <w:rPr>
          <w:rStyle w:val="18"/>
          <w:rFonts w:hint="eastAsia" w:ascii="仿宋" w:hAnsi="仿宋" w:eastAsia="仿宋" w:cs="仿宋"/>
          <w:b w:val="0"/>
          <w:spacing w:val="-4"/>
          <w:sz w:val="32"/>
          <w:szCs w:val="32"/>
          <w:lang w:val="en-US" w:eastAsia="zh-CN"/>
        </w:rPr>
        <w:t xml:space="preserve">2019年完成5478户农村危房改造项目。                                                                                  新建5478户农村危房改造项目，达到住房安全稳固、遮风避雨、厨卫入院的基本要求，使人居环境得到改善，让人民群众有安全住房居住，使人居环境得到改善。          </w:t>
      </w:r>
    </w:p>
    <w:p>
      <w:pPr>
        <w:keepLines w:val="0"/>
        <w:pageBreakBefore w:val="0"/>
        <w:kinsoku/>
        <w:wordWrap/>
        <w:overflowPunct/>
        <w:topLinePunct w:val="0"/>
        <w:autoSpaceDE/>
        <w:autoSpaceDN/>
        <w:bidi w:val="0"/>
        <w:spacing w:line="560" w:lineRule="exact"/>
        <w:ind w:firstLine="624" w:firstLineChars="200"/>
        <w:textAlignment w:val="auto"/>
        <w:rPr>
          <w:rStyle w:val="18"/>
          <w:rFonts w:hint="eastAsia" w:ascii="仿宋" w:hAnsi="仿宋" w:eastAsia="仿宋" w:cs="仿宋"/>
          <w:b w:val="0"/>
          <w:spacing w:val="-4"/>
          <w:sz w:val="32"/>
          <w:szCs w:val="32"/>
          <w:lang w:val="en-US" w:eastAsia="zh-CN"/>
        </w:rPr>
      </w:pPr>
      <w:r>
        <w:rPr>
          <w:rStyle w:val="18"/>
          <w:rFonts w:hint="eastAsia" w:ascii="仿宋" w:hAnsi="仿宋" w:eastAsia="仿宋" w:cs="仿宋"/>
          <w:b w:val="0"/>
          <w:spacing w:val="-4"/>
          <w:sz w:val="32"/>
          <w:szCs w:val="32"/>
          <w:lang w:val="en-US" w:eastAsia="zh-CN"/>
        </w:rPr>
        <w:t>2、项目基本性质、用途</w:t>
      </w:r>
    </w:p>
    <w:p>
      <w:pPr>
        <w:keepLines w:val="0"/>
        <w:pageBreakBefore w:val="0"/>
        <w:kinsoku/>
        <w:wordWrap/>
        <w:overflowPunct/>
        <w:topLinePunct w:val="0"/>
        <w:autoSpaceDE/>
        <w:autoSpaceDN/>
        <w:bidi w:val="0"/>
        <w:spacing w:line="560" w:lineRule="exact"/>
        <w:ind w:firstLine="624" w:firstLineChars="200"/>
        <w:textAlignment w:val="auto"/>
        <w:rPr>
          <w:rStyle w:val="18"/>
          <w:rFonts w:hint="eastAsia" w:ascii="仿宋" w:hAnsi="仿宋" w:eastAsia="仿宋" w:cs="仿宋"/>
          <w:b w:val="0"/>
          <w:spacing w:val="-4"/>
          <w:sz w:val="32"/>
          <w:szCs w:val="32"/>
          <w:lang w:val="en-US" w:eastAsia="zh-CN"/>
        </w:rPr>
      </w:pPr>
      <w:r>
        <w:rPr>
          <w:rStyle w:val="18"/>
          <w:rFonts w:hint="eastAsia" w:ascii="仿宋" w:hAnsi="仿宋" w:eastAsia="仿宋" w:cs="仿宋"/>
          <w:b w:val="0"/>
          <w:spacing w:val="-4"/>
          <w:sz w:val="32"/>
          <w:szCs w:val="32"/>
          <w:lang w:val="en-US" w:eastAsia="zh-CN"/>
        </w:rPr>
        <w:t>新建或扩建农村安居房。</w:t>
      </w:r>
    </w:p>
    <w:p>
      <w:pPr>
        <w:keepLines w:val="0"/>
        <w:pageBreakBefore w:val="0"/>
        <w:kinsoku/>
        <w:wordWrap/>
        <w:overflowPunct/>
        <w:topLinePunct w:val="0"/>
        <w:autoSpaceDE/>
        <w:autoSpaceDN/>
        <w:bidi w:val="0"/>
        <w:spacing w:line="560" w:lineRule="exact"/>
        <w:ind w:firstLine="624" w:firstLineChars="200"/>
        <w:textAlignment w:val="auto"/>
        <w:rPr>
          <w:rStyle w:val="18"/>
          <w:rFonts w:hint="eastAsia" w:ascii="仿宋" w:hAnsi="仿宋" w:eastAsia="仿宋" w:cs="仿宋"/>
          <w:b w:val="0"/>
          <w:spacing w:val="-4"/>
          <w:sz w:val="32"/>
          <w:szCs w:val="32"/>
          <w:lang w:val="en-US" w:eastAsia="zh-CN"/>
        </w:rPr>
      </w:pPr>
      <w:r>
        <w:rPr>
          <w:rStyle w:val="18"/>
          <w:rFonts w:hint="eastAsia" w:ascii="仿宋" w:hAnsi="仿宋" w:eastAsia="仿宋" w:cs="仿宋"/>
          <w:b w:val="0"/>
          <w:spacing w:val="-4"/>
          <w:sz w:val="32"/>
          <w:szCs w:val="32"/>
          <w:lang w:val="en-US" w:eastAsia="zh-CN"/>
        </w:rPr>
        <w:t>3、主要内容、涉及范围</w:t>
      </w:r>
    </w:p>
    <w:p>
      <w:pPr>
        <w:keepLines w:val="0"/>
        <w:pageBreakBefore w:val="0"/>
        <w:kinsoku/>
        <w:wordWrap/>
        <w:overflowPunct/>
        <w:topLinePunct w:val="0"/>
        <w:autoSpaceDE/>
        <w:autoSpaceDN/>
        <w:bidi w:val="0"/>
        <w:spacing w:line="560" w:lineRule="exact"/>
        <w:ind w:firstLine="624" w:firstLineChars="200"/>
        <w:textAlignment w:val="auto"/>
        <w:rPr>
          <w:rStyle w:val="18"/>
          <w:rFonts w:hint="eastAsia" w:ascii="仿宋" w:hAnsi="仿宋" w:eastAsia="仿宋" w:cs="仿宋"/>
          <w:b w:val="0"/>
          <w:spacing w:val="-4"/>
          <w:sz w:val="32"/>
          <w:szCs w:val="32"/>
          <w:lang w:val="en-US" w:eastAsia="zh-CN"/>
        </w:rPr>
      </w:pPr>
      <w:r>
        <w:rPr>
          <w:rStyle w:val="18"/>
          <w:rFonts w:hint="eastAsia" w:ascii="仿宋" w:hAnsi="仿宋" w:eastAsia="仿宋" w:cs="仿宋"/>
          <w:b w:val="0"/>
          <w:spacing w:val="-4"/>
          <w:sz w:val="32"/>
          <w:szCs w:val="32"/>
          <w:lang w:val="en-US" w:eastAsia="zh-CN"/>
        </w:rPr>
        <w:t>2019年上级下达我县危房改造建设任务5478户，涉及10个乡镇场。</w:t>
      </w:r>
    </w:p>
    <w:p>
      <w:pPr>
        <w:keepLines w:val="0"/>
        <w:pageBreakBefore w:val="0"/>
        <w:kinsoku/>
        <w:wordWrap/>
        <w:overflowPunct/>
        <w:topLinePunct w:val="0"/>
        <w:autoSpaceDE/>
        <w:autoSpaceDN/>
        <w:bidi w:val="0"/>
        <w:spacing w:line="560" w:lineRule="exact"/>
        <w:ind w:firstLine="624" w:firstLineChars="200"/>
        <w:textAlignment w:val="auto"/>
        <w:outlineLvl w:val="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Lines w:val="0"/>
        <w:pageBreakBefore w:val="0"/>
        <w:kinsoku/>
        <w:wordWrap/>
        <w:overflowPunct/>
        <w:topLinePunct w:val="0"/>
        <w:autoSpaceDE/>
        <w:autoSpaceDN/>
        <w:bidi w:val="0"/>
        <w:spacing w:line="560" w:lineRule="exact"/>
        <w:ind w:firstLine="627" w:firstLineChars="200"/>
        <w:textAlignment w:val="auto"/>
        <w:outlineLvl w:val="1"/>
        <w:rPr>
          <w:rFonts w:hint="eastAsia" w:ascii="楷体_GB2312" w:hAnsi="楷体" w:eastAsia="楷体_GB2312" w:cs="Times New Roman"/>
          <w:b/>
          <w:bCs/>
          <w:spacing w:val="-4"/>
          <w:kern w:val="0"/>
          <w:sz w:val="32"/>
          <w:szCs w:val="32"/>
          <w:lang w:val="en-US" w:eastAsia="zh-CN" w:bidi="ar-SA"/>
        </w:rPr>
      </w:pPr>
      <w:r>
        <w:rPr>
          <w:rFonts w:hint="eastAsia" w:ascii="楷体" w:hAnsi="楷体" w:eastAsia="楷体" w:cs="楷体"/>
          <w:b/>
          <w:bCs/>
          <w:spacing w:val="-4"/>
          <w:kern w:val="0"/>
          <w:sz w:val="32"/>
          <w:szCs w:val="32"/>
          <w:lang w:val="en-US" w:eastAsia="zh-CN" w:bidi="ar-SA"/>
        </w:rPr>
        <w:t>（一）项目资金安排落实、总投入等情况分析</w:t>
      </w:r>
    </w:p>
    <w:p>
      <w:pPr>
        <w:keepLines w:val="0"/>
        <w:pageBreakBefore w:val="0"/>
        <w:kinsoku/>
        <w:wordWrap/>
        <w:overflowPunct/>
        <w:topLinePunct w:val="0"/>
        <w:autoSpaceDE/>
        <w:autoSpaceDN/>
        <w:bidi w:val="0"/>
        <w:spacing w:line="560" w:lineRule="exact"/>
        <w:ind w:firstLine="624" w:firstLineChars="200"/>
        <w:textAlignment w:val="auto"/>
        <w:outlineLvl w:val="1"/>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2019年实际到位资金23921.478万元（不含非建档立卡户8.8万元），其中：中央补助资金7780.8万元，自治区补助资金7819.678万元，援疆补助资金8,321万元。财政统筹整合调整3848.09万元，原用途使用资金20073.388万元。</w:t>
      </w:r>
    </w:p>
    <w:p>
      <w:pPr>
        <w:keepLines w:val="0"/>
        <w:pageBreakBefore w:val="0"/>
        <w:kinsoku/>
        <w:wordWrap/>
        <w:overflowPunct/>
        <w:topLinePunct w:val="0"/>
        <w:autoSpaceDE/>
        <w:autoSpaceDN/>
        <w:bidi w:val="0"/>
        <w:spacing w:line="560" w:lineRule="exact"/>
        <w:ind w:firstLine="627" w:firstLineChars="200"/>
        <w:textAlignment w:val="auto"/>
        <w:outlineLvl w:val="1"/>
        <w:rPr>
          <w:rFonts w:hint="eastAsia" w:ascii="楷体" w:hAnsi="楷体" w:eastAsia="楷体" w:cs="楷体"/>
          <w:b/>
          <w:bCs/>
          <w:spacing w:val="-4"/>
          <w:kern w:val="0"/>
          <w:sz w:val="32"/>
          <w:szCs w:val="32"/>
          <w:lang w:val="en-US" w:eastAsia="zh-CN" w:bidi="ar-SA"/>
        </w:rPr>
      </w:pPr>
      <w:r>
        <w:rPr>
          <w:rFonts w:hint="eastAsia" w:ascii="楷体" w:hAnsi="楷体" w:eastAsia="楷体" w:cs="楷体"/>
          <w:b/>
          <w:bCs/>
          <w:spacing w:val="-4"/>
          <w:kern w:val="0"/>
          <w:sz w:val="32"/>
          <w:szCs w:val="32"/>
          <w:lang w:val="en-US" w:eastAsia="zh-CN" w:bidi="ar-SA"/>
        </w:rPr>
        <w:t>（二）项目资金实际使用情况分析</w:t>
      </w:r>
    </w:p>
    <w:p>
      <w:pPr>
        <w:keepLines w:val="0"/>
        <w:pageBreakBefore w:val="0"/>
        <w:kinsoku/>
        <w:wordWrap/>
        <w:overflowPunct/>
        <w:topLinePunct w:val="0"/>
        <w:autoSpaceDE/>
        <w:autoSpaceDN/>
        <w:bidi w:val="0"/>
        <w:spacing w:line="560" w:lineRule="exact"/>
        <w:ind w:firstLine="624" w:firstLineChars="200"/>
        <w:textAlignment w:val="auto"/>
        <w:outlineLvl w:val="1"/>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2019年实际到位资金23921.478万元,财政统筹整合调整3848.09万元，原用途使用资金20073.388万元。</w:t>
      </w:r>
    </w:p>
    <w:p>
      <w:pPr>
        <w:keepLines w:val="0"/>
        <w:pageBreakBefore w:val="0"/>
        <w:kinsoku/>
        <w:wordWrap/>
        <w:overflowPunct/>
        <w:topLinePunct w:val="0"/>
        <w:autoSpaceDE/>
        <w:autoSpaceDN/>
        <w:bidi w:val="0"/>
        <w:spacing w:line="560" w:lineRule="exact"/>
        <w:ind w:firstLine="624" w:firstLineChars="200"/>
        <w:textAlignment w:val="auto"/>
        <w:outlineLvl w:val="1"/>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调整用于雨露计划275.55万元，调整用于2020年囊产业园项目前期设计费24万元，实际用于安居富民工程项目建设资金为19773.838万元。资金执行率为94.72%。</w:t>
      </w:r>
    </w:p>
    <w:p>
      <w:pPr>
        <w:keepLines w:val="0"/>
        <w:pageBreakBefore w:val="0"/>
        <w:kinsoku/>
        <w:wordWrap/>
        <w:overflowPunct/>
        <w:topLinePunct w:val="0"/>
        <w:autoSpaceDE/>
        <w:autoSpaceDN/>
        <w:bidi w:val="0"/>
        <w:spacing w:line="560" w:lineRule="exact"/>
        <w:ind w:firstLine="624" w:firstLineChars="200"/>
        <w:textAlignment w:val="auto"/>
        <w:outlineLvl w:val="1"/>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2018年：一般户补助1万元/户（援疆资金1万元/户）合计2000万元，建档立卡贫困户（援疆资金1万元/户）合计774万元，总合计支出2774万元。</w:t>
      </w:r>
    </w:p>
    <w:p>
      <w:pPr>
        <w:keepLines w:val="0"/>
        <w:pageBreakBefore w:val="0"/>
        <w:kinsoku/>
        <w:wordWrap/>
        <w:overflowPunct/>
        <w:topLinePunct w:val="0"/>
        <w:autoSpaceDE/>
        <w:autoSpaceDN/>
        <w:bidi w:val="0"/>
        <w:spacing w:line="560" w:lineRule="exact"/>
        <w:ind w:firstLine="624" w:firstLineChars="200"/>
        <w:textAlignment w:val="auto"/>
        <w:outlineLvl w:val="1"/>
        <w:rPr>
          <w:rStyle w:val="18"/>
          <w:rFonts w:hint="eastAsia" w:ascii="仿宋" w:hAnsi="仿宋" w:eastAsia="仿宋" w:cs="仿宋"/>
          <w:b w:val="0"/>
          <w:spacing w:val="-4"/>
          <w:sz w:val="32"/>
          <w:szCs w:val="32"/>
          <w:highlight w:val="yellow"/>
          <w:lang w:val="en-US" w:eastAsia="zh-CN"/>
        </w:rPr>
      </w:pPr>
      <w:r>
        <w:rPr>
          <w:rStyle w:val="18"/>
          <w:rFonts w:hint="eastAsia" w:ascii="仿宋" w:hAnsi="仿宋" w:eastAsia="仿宋" w:cs="仿宋"/>
          <w:b w:val="0"/>
          <w:spacing w:val="-4"/>
          <w:sz w:val="32"/>
          <w:szCs w:val="32"/>
          <w:highlight w:val="none"/>
          <w:lang w:val="en-US" w:eastAsia="zh-CN"/>
        </w:rPr>
        <w:t>2019年：三类人员补助3.4万元/户（中央补助1.6</w:t>
      </w:r>
      <w:r>
        <w:rPr>
          <w:rStyle w:val="18"/>
          <w:rFonts w:hint="eastAsia" w:ascii="仿宋" w:hAnsi="仿宋" w:eastAsia="仿宋" w:cs="仿宋"/>
          <w:b w:val="0"/>
          <w:spacing w:val="-4"/>
          <w:sz w:val="32"/>
          <w:szCs w:val="32"/>
          <w:lang w:val="en-US" w:eastAsia="zh-CN"/>
        </w:rPr>
        <w:t>万元，自治区补助0.8万元，援疆补助1万元/户）合计</w:t>
      </w:r>
      <w:r>
        <w:rPr>
          <w:rStyle w:val="18"/>
          <w:rFonts w:hint="eastAsia" w:ascii="仿宋" w:hAnsi="仿宋" w:eastAsia="仿宋" w:cs="仿宋"/>
          <w:b w:val="0"/>
          <w:spacing w:val="-4"/>
          <w:sz w:val="32"/>
          <w:szCs w:val="32"/>
          <w:highlight w:val="none"/>
          <w:lang w:val="en-US" w:eastAsia="zh-CN"/>
        </w:rPr>
        <w:t>1084.6万元；一般户补助2.85万元/户（中央补助0.396万元/户补助，自治区补助1.454万元/户，援疆1万元/户）合计14697.45万元；后期新增16户建档立卡贫困户（</w:t>
      </w:r>
      <w:r>
        <w:rPr>
          <w:rStyle w:val="18"/>
          <w:rFonts w:hint="eastAsia" w:ascii="仿宋" w:hAnsi="仿宋" w:eastAsia="仿宋" w:cs="仿宋"/>
          <w:b w:val="0"/>
          <w:spacing w:val="-4"/>
          <w:sz w:val="32"/>
          <w:szCs w:val="32"/>
          <w:lang w:val="en-US" w:eastAsia="zh-CN"/>
        </w:rPr>
        <w:t>援疆补助2万元/户）合计32万元；</w:t>
      </w:r>
      <w:r>
        <w:rPr>
          <w:rStyle w:val="18"/>
          <w:rFonts w:hint="eastAsia" w:ascii="仿宋" w:hAnsi="仿宋" w:eastAsia="仿宋" w:cs="仿宋"/>
          <w:b w:val="0"/>
          <w:spacing w:val="-4"/>
          <w:sz w:val="32"/>
          <w:szCs w:val="32"/>
          <w:highlight w:val="none"/>
          <w:lang w:val="en-US" w:eastAsia="zh-CN"/>
        </w:rPr>
        <w:t>新增三类户5户（中央补助1.55万元/户补助）合计7.75</w:t>
      </w:r>
      <w:r>
        <w:rPr>
          <w:rStyle w:val="18"/>
          <w:rFonts w:hint="eastAsia" w:ascii="仿宋" w:hAnsi="仿宋" w:eastAsia="仿宋" w:cs="仿宋"/>
          <w:b w:val="0"/>
          <w:spacing w:val="-4"/>
          <w:sz w:val="32"/>
          <w:szCs w:val="32"/>
          <w:lang w:val="en-US" w:eastAsia="zh-CN"/>
        </w:rPr>
        <w:t>万元</w:t>
      </w:r>
      <w:r>
        <w:rPr>
          <w:rStyle w:val="18"/>
          <w:rFonts w:hint="eastAsia" w:ascii="仿宋" w:hAnsi="仿宋" w:eastAsia="仿宋" w:cs="仿宋"/>
          <w:b w:val="0"/>
          <w:spacing w:val="-4"/>
          <w:sz w:val="32"/>
          <w:szCs w:val="32"/>
          <w:highlight w:val="none"/>
          <w:lang w:val="en-US" w:eastAsia="zh-CN"/>
        </w:rPr>
        <w:t>；总合计支出15821.80万元。</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yellow"/>
          <w:lang w:val="en-US" w:eastAsia="zh-CN"/>
        </w:rPr>
      </w:pPr>
      <w:r>
        <w:rPr>
          <w:rStyle w:val="18"/>
          <w:rFonts w:hint="eastAsia" w:ascii="仿宋" w:hAnsi="仿宋" w:eastAsia="仿宋" w:cs="仿宋"/>
          <w:b w:val="0"/>
          <w:spacing w:val="-4"/>
          <w:sz w:val="32"/>
          <w:szCs w:val="32"/>
          <w:highlight w:val="none"/>
          <w:lang w:val="en-US" w:eastAsia="zh-CN"/>
        </w:rPr>
        <w:t>2020年新增一般户133户</w:t>
      </w:r>
      <w:r>
        <w:rPr>
          <w:rStyle w:val="18"/>
          <w:rFonts w:hint="eastAsia" w:ascii="仿宋" w:hAnsi="仿宋" w:eastAsia="仿宋" w:cs="仿宋"/>
          <w:b w:val="0"/>
          <w:spacing w:val="-4"/>
          <w:sz w:val="32"/>
          <w:szCs w:val="32"/>
          <w:lang w:val="en-US" w:eastAsia="zh-CN"/>
        </w:rPr>
        <w:t>，（</w:t>
      </w:r>
      <w:r>
        <w:rPr>
          <w:rStyle w:val="18"/>
          <w:rFonts w:hint="eastAsia" w:ascii="仿宋" w:hAnsi="仿宋" w:eastAsia="仿宋" w:cs="仿宋"/>
          <w:b w:val="0"/>
          <w:spacing w:val="-4"/>
          <w:sz w:val="32"/>
          <w:szCs w:val="32"/>
          <w:highlight w:val="none"/>
          <w:lang w:val="en-US" w:eastAsia="zh-CN"/>
        </w:rPr>
        <w:t>中央补助</w:t>
      </w:r>
      <w:r>
        <w:rPr>
          <w:rStyle w:val="18"/>
          <w:rFonts w:hint="eastAsia" w:ascii="仿宋" w:hAnsi="仿宋" w:eastAsia="仿宋" w:cs="仿宋"/>
          <w:b w:val="0"/>
          <w:spacing w:val="-4"/>
          <w:sz w:val="32"/>
          <w:szCs w:val="32"/>
          <w:lang w:val="en-US" w:eastAsia="zh-CN"/>
        </w:rPr>
        <w:t>2.85万元/户）合计支出</w:t>
      </w:r>
      <w:r>
        <w:rPr>
          <w:rStyle w:val="18"/>
          <w:rFonts w:hint="eastAsia" w:ascii="仿宋" w:hAnsi="仿宋" w:eastAsia="仿宋" w:cs="仿宋"/>
          <w:b w:val="0"/>
          <w:spacing w:val="-4"/>
          <w:sz w:val="32"/>
          <w:szCs w:val="32"/>
          <w:highlight w:val="none"/>
          <w:lang w:val="en-US" w:eastAsia="zh-CN"/>
        </w:rPr>
        <w:t>379.05</w:t>
      </w:r>
      <w:r>
        <w:rPr>
          <w:rStyle w:val="18"/>
          <w:rFonts w:hint="eastAsia" w:ascii="仿宋" w:hAnsi="仿宋" w:eastAsia="仿宋" w:cs="仿宋"/>
          <w:b w:val="0"/>
          <w:spacing w:val="-4"/>
          <w:sz w:val="32"/>
          <w:szCs w:val="32"/>
          <w:lang w:val="en-US" w:eastAsia="zh-CN"/>
        </w:rPr>
        <w:t>万元(已支出，列入2020年预算），财政实际结余759.9855万元，援疆资金结转55万元。</w:t>
      </w:r>
    </w:p>
    <w:p>
      <w:pPr>
        <w:keepLines w:val="0"/>
        <w:pageBreakBefore w:val="0"/>
        <w:kinsoku/>
        <w:wordWrap/>
        <w:overflowPunct/>
        <w:topLinePunct w:val="0"/>
        <w:autoSpaceDE/>
        <w:autoSpaceDN/>
        <w:bidi w:val="0"/>
        <w:spacing w:line="560" w:lineRule="exact"/>
        <w:ind w:firstLine="627" w:firstLineChars="200"/>
        <w:textAlignment w:val="auto"/>
        <w:outlineLvl w:val="1"/>
        <w:rPr>
          <w:rFonts w:hint="eastAsia" w:ascii="楷体" w:hAnsi="楷体" w:eastAsia="楷体" w:cs="楷体"/>
          <w:b/>
          <w:bCs/>
          <w:spacing w:val="-4"/>
          <w:kern w:val="0"/>
          <w:sz w:val="32"/>
          <w:szCs w:val="32"/>
          <w:lang w:val="en-US" w:eastAsia="zh-CN" w:bidi="ar-SA"/>
        </w:rPr>
      </w:pPr>
      <w:r>
        <w:rPr>
          <w:rFonts w:hint="eastAsia" w:ascii="楷体" w:hAnsi="楷体" w:eastAsia="楷体" w:cs="楷体"/>
          <w:b/>
          <w:bCs/>
          <w:spacing w:val="-4"/>
          <w:kern w:val="0"/>
          <w:sz w:val="32"/>
          <w:szCs w:val="32"/>
          <w:lang w:val="en-US" w:eastAsia="zh-CN" w:bidi="ar-SA"/>
        </w:rPr>
        <w:t>（三）项目资金管理情况分析</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本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keepLines w:val="0"/>
        <w:pageBreakBefore w:val="0"/>
        <w:kinsoku/>
        <w:wordWrap/>
        <w:overflowPunct/>
        <w:topLinePunct w:val="0"/>
        <w:autoSpaceDE/>
        <w:autoSpaceDN/>
        <w:bidi w:val="0"/>
        <w:spacing w:line="560" w:lineRule="exact"/>
        <w:ind w:firstLine="624" w:firstLineChars="200"/>
        <w:textAlignment w:val="auto"/>
        <w:outlineLvl w:val="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Lines w:val="0"/>
        <w:pageBreakBefore w:val="0"/>
        <w:kinsoku/>
        <w:wordWrap/>
        <w:overflowPunct/>
        <w:topLinePunct w:val="0"/>
        <w:autoSpaceDE/>
        <w:autoSpaceDN/>
        <w:bidi w:val="0"/>
        <w:spacing w:line="560" w:lineRule="exact"/>
        <w:ind w:firstLine="627" w:firstLineChars="200"/>
        <w:textAlignment w:val="auto"/>
        <w:outlineLvl w:val="1"/>
        <w:rPr>
          <w:rFonts w:hint="eastAsia" w:ascii="楷体" w:hAnsi="楷体" w:eastAsia="楷体" w:cs="楷体"/>
          <w:b/>
          <w:bCs/>
          <w:spacing w:val="-4"/>
          <w:kern w:val="0"/>
          <w:sz w:val="32"/>
          <w:szCs w:val="32"/>
          <w:lang w:val="en-US" w:eastAsia="zh-CN" w:bidi="ar-SA"/>
        </w:rPr>
      </w:pPr>
      <w:r>
        <w:rPr>
          <w:rFonts w:hint="eastAsia" w:ascii="楷体" w:hAnsi="楷体" w:eastAsia="楷体" w:cs="楷体"/>
          <w:b/>
          <w:bCs/>
          <w:spacing w:val="-4"/>
          <w:kern w:val="0"/>
          <w:sz w:val="32"/>
          <w:szCs w:val="32"/>
          <w:lang w:val="en-US" w:eastAsia="zh-CN" w:bidi="ar-SA"/>
        </w:rPr>
        <w:t>（一）项目组织情况分析</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该项目属于入户项目,由本单位自行组织实施。实施过程均按照本单位制定的管理制度执行。</w:t>
      </w:r>
    </w:p>
    <w:p>
      <w:pPr>
        <w:keepLines w:val="0"/>
        <w:pageBreakBefore w:val="0"/>
        <w:kinsoku/>
        <w:wordWrap/>
        <w:overflowPunct/>
        <w:topLinePunct w:val="0"/>
        <w:autoSpaceDE/>
        <w:autoSpaceDN/>
        <w:bidi w:val="0"/>
        <w:spacing w:line="560" w:lineRule="exact"/>
        <w:ind w:firstLine="627" w:firstLineChars="200"/>
        <w:textAlignment w:val="auto"/>
        <w:outlineLvl w:val="1"/>
        <w:rPr>
          <w:rFonts w:hint="eastAsia" w:ascii="楷体" w:hAnsi="楷体" w:eastAsia="楷体" w:cs="楷体"/>
          <w:b/>
          <w:bCs/>
          <w:spacing w:val="-4"/>
          <w:kern w:val="0"/>
          <w:sz w:val="32"/>
          <w:szCs w:val="32"/>
          <w:lang w:val="en-US" w:eastAsia="zh-CN" w:bidi="ar-SA"/>
        </w:rPr>
      </w:pPr>
      <w:r>
        <w:rPr>
          <w:rFonts w:hint="eastAsia" w:ascii="楷体" w:hAnsi="楷体" w:eastAsia="楷体" w:cs="楷体"/>
          <w:b/>
          <w:bCs/>
          <w:spacing w:val="-4"/>
          <w:kern w:val="0"/>
          <w:sz w:val="32"/>
          <w:szCs w:val="32"/>
          <w:lang w:val="en-US" w:eastAsia="zh-CN" w:bidi="ar-SA"/>
        </w:rPr>
        <w:t>（二）项目管理情况分析</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项目实施过程中，安居富民办公室制定了《麦盖提县农村安居工程管理办法》，保障项目的顺利实施。项目的实施遵守相关法律法规和业务管理规定，项目资料齐全并及时归档。已建立《2019年度日常检查监督检查机制》，不定期对项目进度情况进行督导检查，对检查过程中发现的问题及时督促整改，确保了项目按时保质完成。</w:t>
      </w:r>
    </w:p>
    <w:p>
      <w:pPr>
        <w:keepLines w:val="0"/>
        <w:pageBreakBefore w:val="0"/>
        <w:kinsoku/>
        <w:wordWrap/>
        <w:overflowPunct/>
        <w:topLinePunct w:val="0"/>
        <w:autoSpaceDE/>
        <w:autoSpaceDN/>
        <w:bidi w:val="0"/>
        <w:spacing w:line="560" w:lineRule="exact"/>
        <w:ind w:firstLine="624" w:firstLineChars="200"/>
        <w:textAlignment w:val="auto"/>
        <w:outlineLvl w:val="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四、项目绩效目标完成情况分析</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本项目共设置一级指标3个，二级指标7个，三级指标14个，其中已完成三级指标14个，指标完成率为100%。</w:t>
      </w:r>
    </w:p>
    <w:p>
      <w:pPr>
        <w:keepLines w:val="0"/>
        <w:pageBreakBefore w:val="0"/>
        <w:kinsoku/>
        <w:wordWrap/>
        <w:overflowPunct/>
        <w:topLinePunct w:val="0"/>
        <w:autoSpaceDE/>
        <w:autoSpaceDN/>
        <w:bidi w:val="0"/>
        <w:spacing w:line="560" w:lineRule="exact"/>
        <w:ind w:firstLine="627" w:firstLineChars="200"/>
        <w:textAlignment w:val="auto"/>
        <w:outlineLvl w:val="1"/>
        <w:rPr>
          <w:rFonts w:hint="eastAsia" w:ascii="楷体" w:hAnsi="楷体" w:eastAsia="楷体" w:cs="楷体"/>
          <w:b/>
          <w:bCs/>
          <w:spacing w:val="-4"/>
          <w:kern w:val="0"/>
          <w:sz w:val="32"/>
          <w:szCs w:val="32"/>
          <w:lang w:val="en-US" w:eastAsia="zh-CN" w:bidi="ar-SA"/>
        </w:rPr>
      </w:pPr>
      <w:r>
        <w:rPr>
          <w:rFonts w:hint="eastAsia" w:ascii="楷体" w:hAnsi="楷体" w:eastAsia="楷体" w:cs="楷体"/>
          <w:b/>
          <w:bCs/>
          <w:spacing w:val="-4"/>
          <w:kern w:val="0"/>
          <w:sz w:val="32"/>
          <w:szCs w:val="32"/>
          <w:lang w:val="en-US" w:eastAsia="zh-CN" w:bidi="ar-SA"/>
        </w:rPr>
        <w:t>（一）产出指标完成情况分析</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1.项目完成数量</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施工中监督检查次数指标预期值≥10次，实际完成值10次，该指标权值分为4分，得分4分；提供建设方案指标预期值≥1套，实际完成值1套，该指标权值分为4分，得分4分；一般户指标预期值5159户，实际完成值5292户，该指标权值分为4分，得分4分；四类人员指标预期值319户，实际完成值340户，该指标权值分为4分，得分4分；建立监督检查机制指标预期值≥1套，实际完成值1套，该指标权值分为4分，得分4分；数量指标总权值分20分，得分20分。</w:t>
      </w:r>
    </w:p>
    <w:p>
      <w:pPr>
        <w:keepLines w:val="0"/>
        <w:pageBreakBefore w:val="0"/>
        <w:kinsoku/>
        <w:wordWrap/>
        <w:overflowPunct/>
        <w:topLinePunct w:val="0"/>
        <w:autoSpaceDE/>
        <w:autoSpaceDN/>
        <w:bidi w:val="0"/>
        <w:spacing w:line="560" w:lineRule="exact"/>
        <w:ind w:firstLine="624" w:firstLineChars="200"/>
        <w:textAlignment w:val="auto"/>
        <w:outlineLvl w:val="2"/>
        <w:rPr>
          <w:rStyle w:val="18"/>
          <w:rFonts w:hint="eastAsia" w:ascii="仿宋" w:hAnsi="仿宋" w:eastAsia="仿宋" w:cs="仿宋"/>
          <w:b w:val="0"/>
          <w:spacing w:val="-4"/>
          <w:sz w:val="32"/>
          <w:szCs w:val="32"/>
          <w:lang w:val="en-US" w:eastAsia="zh-CN"/>
        </w:rPr>
      </w:pPr>
      <w:r>
        <w:rPr>
          <w:rStyle w:val="18"/>
          <w:rFonts w:hint="eastAsia" w:ascii="仿宋" w:hAnsi="仿宋" w:eastAsia="仿宋" w:cs="仿宋"/>
          <w:b w:val="0"/>
          <w:spacing w:val="-4"/>
          <w:sz w:val="32"/>
          <w:szCs w:val="32"/>
          <w:lang w:val="en-US" w:eastAsia="zh-CN"/>
        </w:rPr>
        <w:t>2.项目完成质量</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经验收质量合格率指标预期值100 %，实际完成值100%，该指标权值分为5分，得分5分；改造后房屋满足基本居住功能比例为指标预期值100%，实际完成值100%，该指标权值分为5分，得分5分；质量指标总权值分10分，得分10分。</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3.项目完成时效</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2019年3月开工及时率指标预期值100 %，实际完成值100%，该指标权值分为4分，得分4分；2019年7月完工及时率指标预期值100 %，实际完成值0%，该指标权值分为4分，得分0分；2019年8月完工，2018年9月30日完成检查验收。时效指标总权值分8分，得分4分。</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4.项目成本节约情况</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四类人员补助金额指标预期值3.4万元/户，实际完成值3.4万元/户，该指标权值分为6分，得分6分；一般户补助金额指标预期值2.85万元/户，实际完成值2.85万元/户，该指标权值分为6分，得分6分；成本指标总权值分12分，得分12分。</w:t>
      </w:r>
    </w:p>
    <w:p>
      <w:pPr>
        <w:keepLines w:val="0"/>
        <w:pageBreakBefore w:val="0"/>
        <w:kinsoku/>
        <w:wordWrap/>
        <w:overflowPunct/>
        <w:topLinePunct w:val="0"/>
        <w:autoSpaceDE/>
        <w:autoSpaceDN/>
        <w:bidi w:val="0"/>
        <w:spacing w:line="560" w:lineRule="exact"/>
        <w:ind w:firstLine="627" w:firstLineChars="200"/>
        <w:textAlignment w:val="auto"/>
        <w:outlineLvl w:val="1"/>
        <w:rPr>
          <w:rFonts w:hint="eastAsia" w:ascii="楷体" w:hAnsi="楷体" w:eastAsia="楷体" w:cs="楷体"/>
          <w:b/>
          <w:bCs/>
          <w:spacing w:val="-4"/>
          <w:kern w:val="0"/>
          <w:sz w:val="32"/>
          <w:szCs w:val="32"/>
          <w:lang w:val="en-US" w:eastAsia="zh-CN" w:bidi="ar-SA"/>
        </w:rPr>
      </w:pPr>
      <w:r>
        <w:rPr>
          <w:rFonts w:hint="eastAsia" w:ascii="楷体" w:hAnsi="楷体" w:eastAsia="楷体" w:cs="楷体"/>
          <w:b/>
          <w:bCs/>
          <w:spacing w:val="-4"/>
          <w:kern w:val="0"/>
          <w:sz w:val="32"/>
          <w:szCs w:val="32"/>
          <w:lang w:val="en-US" w:eastAsia="zh-CN" w:bidi="ar-SA"/>
        </w:rPr>
        <w:t>（二）效益指标完成情况分析</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1.经济效益指标</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无。</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2.社会效益指标</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改善农牧民居住条件指标预期值效果显著，实际完成值100%，该指标权值分为15分，得分15分；社会效益总权值分15分，得分15分。</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3.可持续影响指标</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改造后使用年限指标预期值≥50年，实际完成值50年，该指标权值分为15分，得分15分；可持续影响总权值分15分，得分15分。</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4.生态效益指标</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无。</w:t>
      </w:r>
    </w:p>
    <w:p>
      <w:pPr>
        <w:keepLines w:val="0"/>
        <w:pageBreakBefore w:val="0"/>
        <w:kinsoku/>
        <w:wordWrap/>
        <w:overflowPunct/>
        <w:topLinePunct w:val="0"/>
        <w:autoSpaceDE/>
        <w:autoSpaceDN/>
        <w:bidi w:val="0"/>
        <w:spacing w:line="560" w:lineRule="exact"/>
        <w:ind w:firstLine="627" w:firstLineChars="200"/>
        <w:textAlignment w:val="auto"/>
        <w:outlineLvl w:val="1"/>
        <w:rPr>
          <w:rFonts w:hint="eastAsia" w:ascii="楷体" w:hAnsi="楷体" w:eastAsia="楷体" w:cs="楷体"/>
          <w:b/>
          <w:bCs/>
          <w:spacing w:val="-4"/>
          <w:kern w:val="0"/>
          <w:sz w:val="32"/>
          <w:szCs w:val="32"/>
          <w:lang w:val="en-US" w:eastAsia="zh-CN" w:bidi="ar-SA"/>
        </w:rPr>
      </w:pPr>
      <w:r>
        <w:rPr>
          <w:rFonts w:hint="eastAsia" w:ascii="楷体" w:hAnsi="楷体" w:eastAsia="楷体" w:cs="楷体"/>
          <w:b/>
          <w:bCs/>
          <w:spacing w:val="-4"/>
          <w:kern w:val="0"/>
          <w:sz w:val="32"/>
          <w:szCs w:val="32"/>
          <w:lang w:val="en-US" w:eastAsia="zh-CN" w:bidi="ar-SA"/>
        </w:rPr>
        <w:t>（三）满意度指标完成情况分析</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已做满意度调查问卷，受益对象满意度指标预期值100%，实际完成值100%年，该指标权值分为10分，得分10分；服务对象满意度指标总权衡分值10分，得分10分。</w:t>
      </w:r>
    </w:p>
    <w:p>
      <w:pPr>
        <w:keepLines w:val="0"/>
        <w:pageBreakBefore w:val="0"/>
        <w:kinsoku/>
        <w:wordWrap/>
        <w:overflowPunct/>
        <w:topLinePunct w:val="0"/>
        <w:autoSpaceDE/>
        <w:autoSpaceDN/>
        <w:bidi w:val="0"/>
        <w:spacing w:line="560" w:lineRule="exact"/>
        <w:ind w:firstLine="624" w:firstLineChars="200"/>
        <w:textAlignment w:val="auto"/>
        <w:outlineLvl w:val="0"/>
        <w:rPr>
          <w:rStyle w:val="18"/>
          <w:rFonts w:hint="eastAsia" w:ascii="黑体" w:hAnsi="黑体" w:eastAsia="黑体"/>
          <w:b w:val="0"/>
          <w:spacing w:val="-4"/>
          <w:sz w:val="32"/>
          <w:szCs w:val="32"/>
          <w:lang w:val="en-US" w:eastAsia="zh-CN"/>
        </w:rPr>
      </w:pPr>
      <w:r>
        <w:rPr>
          <w:rStyle w:val="18"/>
          <w:rFonts w:hint="eastAsia" w:ascii="黑体" w:hAnsi="黑体" w:eastAsia="黑体"/>
          <w:b w:val="0"/>
          <w:spacing w:val="-4"/>
          <w:sz w:val="32"/>
          <w:szCs w:val="32"/>
          <w:lang w:val="en-US" w:eastAsia="zh-CN"/>
        </w:rPr>
        <w:t>五、项目绩效目标未完成的原因分析和改进措施</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2019年本项目绩效目标全部达成，不存在未完成，今后对各项指标和指标值的设定要进一步优化、完善。</w:t>
      </w:r>
    </w:p>
    <w:p>
      <w:pPr>
        <w:keepLines w:val="0"/>
        <w:pageBreakBefore w:val="0"/>
        <w:kinsoku/>
        <w:wordWrap/>
        <w:overflowPunct/>
        <w:topLinePunct w:val="0"/>
        <w:autoSpaceDE/>
        <w:autoSpaceDN/>
        <w:bidi w:val="0"/>
        <w:spacing w:line="560" w:lineRule="exact"/>
        <w:ind w:firstLine="624" w:firstLineChars="200"/>
        <w:textAlignment w:val="auto"/>
        <w:outlineLvl w:val="0"/>
        <w:rPr>
          <w:rStyle w:val="18"/>
          <w:rFonts w:hint="eastAsia" w:ascii="黑体" w:hAnsi="黑体" w:eastAsia="黑体"/>
          <w:b w:val="0"/>
          <w:spacing w:val="-4"/>
          <w:sz w:val="32"/>
          <w:szCs w:val="32"/>
          <w:lang w:val="en-US" w:eastAsia="zh-CN"/>
        </w:rPr>
      </w:pPr>
      <w:r>
        <w:rPr>
          <w:rStyle w:val="18"/>
          <w:rFonts w:hint="eastAsia" w:ascii="黑体" w:hAnsi="黑体" w:eastAsia="黑体"/>
          <w:b w:val="0"/>
          <w:spacing w:val="-4"/>
          <w:sz w:val="32"/>
          <w:szCs w:val="32"/>
          <w:lang w:val="en-US" w:eastAsia="zh-CN"/>
        </w:rPr>
        <w:t>六、综合评价结论</w:t>
      </w:r>
    </w:p>
    <w:p>
      <w:pPr>
        <w:keepLines w:val="0"/>
        <w:pageBreakBefore w:val="0"/>
        <w:kinsoku/>
        <w:wordWrap/>
        <w:overflowPunct/>
        <w:topLinePunct w:val="0"/>
        <w:autoSpaceDE/>
        <w:autoSpaceDN/>
        <w:bidi w:val="0"/>
        <w:spacing w:line="560" w:lineRule="exact"/>
        <w:ind w:firstLine="624" w:firstLineChars="200"/>
        <w:textAlignment w:val="auto"/>
        <w:rPr>
          <w:rFonts w:hint="eastAsia" w:ascii="仿宋" w:hAnsi="仿宋" w:eastAsia="仿宋" w:cs="仿宋"/>
          <w:sz w:val="32"/>
          <w:szCs w:val="32"/>
          <w:lang w:val="en-US" w:eastAsia="zh-CN"/>
        </w:rPr>
      </w:pPr>
      <w:r>
        <w:rPr>
          <w:rStyle w:val="18"/>
          <w:rFonts w:hint="eastAsia" w:ascii="仿宋" w:hAnsi="仿宋" w:eastAsia="仿宋" w:cs="仿宋"/>
          <w:b w:val="0"/>
          <w:spacing w:val="-4"/>
          <w:sz w:val="32"/>
          <w:szCs w:val="32"/>
          <w:highlight w:val="none"/>
          <w:lang w:val="en-US" w:eastAsia="zh-CN"/>
        </w:rPr>
        <w:t>经综合评价，本项目实施达成预期指标：资金使用、管理、保障到位，严格执行扶贫资金管理办法和县财政资金管理制度，能按照实施方案执行招投标管理办法，综合评价得分为99.47分。</w:t>
      </w:r>
    </w:p>
    <w:p>
      <w:pPr>
        <w:keepLines w:val="0"/>
        <w:pageBreakBefore w:val="0"/>
        <w:kinsoku/>
        <w:wordWrap/>
        <w:overflowPunct/>
        <w:topLinePunct w:val="0"/>
        <w:autoSpaceDE/>
        <w:autoSpaceDN/>
        <w:bidi w:val="0"/>
        <w:spacing w:line="560" w:lineRule="exact"/>
        <w:ind w:firstLine="624" w:firstLineChars="200"/>
        <w:textAlignment w:val="auto"/>
        <w:outlineLvl w:val="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七、项目实施的经验、问题、建议</w:t>
      </w:r>
    </w:p>
    <w:p>
      <w:pPr>
        <w:keepLines w:val="0"/>
        <w:pageBreakBefore w:val="0"/>
        <w:kinsoku/>
        <w:wordWrap/>
        <w:overflowPunct/>
        <w:topLinePunct w:val="0"/>
        <w:autoSpaceDE/>
        <w:autoSpaceDN/>
        <w:bidi w:val="0"/>
        <w:adjustRightInd/>
        <w:snapToGrid/>
        <w:spacing w:line="560" w:lineRule="exact"/>
        <w:ind w:firstLine="627" w:firstLineChars="200"/>
        <w:textAlignment w:val="auto"/>
        <w:outlineLvl w:val="1"/>
        <w:rPr>
          <w:rFonts w:hint="eastAsia" w:ascii="楷体" w:hAnsi="楷体" w:eastAsia="楷体" w:cs="楷体"/>
          <w:b/>
          <w:bCs/>
          <w:spacing w:val="-4"/>
          <w:kern w:val="0"/>
          <w:sz w:val="32"/>
          <w:szCs w:val="32"/>
          <w:lang w:val="en-US" w:eastAsia="zh-CN" w:bidi="ar-SA"/>
        </w:rPr>
      </w:pPr>
      <w:r>
        <w:rPr>
          <w:rFonts w:hint="eastAsia" w:ascii="楷体" w:hAnsi="楷体" w:eastAsia="楷体" w:cs="楷体"/>
          <w:b/>
          <w:bCs/>
          <w:spacing w:val="-4"/>
          <w:kern w:val="0"/>
          <w:sz w:val="32"/>
          <w:szCs w:val="32"/>
          <w:lang w:val="en-US" w:eastAsia="zh-CN" w:bidi="ar-SA"/>
        </w:rPr>
        <w:t>（一）主要经验及做法</w:t>
      </w:r>
    </w:p>
    <w:p>
      <w:pPr>
        <w:pStyle w:val="2"/>
        <w:keepNext/>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outlineLvl w:val="2"/>
        <w:rPr>
          <w:rStyle w:val="18"/>
          <w:rFonts w:hint="eastAsia" w:ascii="仿宋" w:hAnsi="仿宋" w:eastAsia="仿宋" w:cs="仿宋"/>
          <w:b w:val="0"/>
          <w:bCs/>
          <w:spacing w:val="-4"/>
          <w:kern w:val="2"/>
          <w:sz w:val="32"/>
          <w:szCs w:val="32"/>
          <w:highlight w:val="none"/>
          <w:lang w:val="en-US" w:eastAsia="zh-CN" w:bidi="ar-SA"/>
        </w:rPr>
      </w:pPr>
      <w:r>
        <w:rPr>
          <w:rStyle w:val="18"/>
          <w:rFonts w:hint="eastAsia" w:ascii="仿宋" w:hAnsi="仿宋" w:eastAsia="仿宋" w:cs="仿宋"/>
          <w:b w:val="0"/>
          <w:bCs/>
          <w:spacing w:val="-4"/>
          <w:kern w:val="2"/>
          <w:sz w:val="32"/>
          <w:szCs w:val="32"/>
          <w:highlight w:val="none"/>
          <w:lang w:val="en-US" w:eastAsia="zh-CN" w:bidi="ar-SA"/>
        </w:rPr>
        <w:t>一是组织机构健全，上下齐抓共管。县委、县人民政府高度重视贫困户住房保障，主要领导亲自主、分管领导具体抓，将住房安全有保障作为深度贫困县主要任务，建立县、乡、村三级管理体系，工作措施到位，保证工作正常运转，县、乡、帮扶工作队主要领导形成逢会必讲安居房建设，到村必看建设进度，掌握民情，了解进度，狠抓质量，按照应纳尽纳，强化各级组织对脱贫攻坚住房安全有保障的意识。二是科学规划，合理布局，强力推进集中连片。去冬今春以来，早计划早安排，做到提前选址，提前安排，原则上坚持“集中统一”，“串珠连线”，保证农村安居工程整齐划一，力争达到后续公共基础设施配套让村民共享，方便生活、生产，今年共建新小区13处。三聚焦脱贫攻坚，鼎力推动贫困户住房保障。在建材资源匮乏，建房用的沙子、石子、建筑用砖都要通过邻近县拉运，为</w:t>
      </w:r>
      <w:bookmarkStart w:id="0" w:name="_GoBack"/>
      <w:bookmarkEnd w:id="0"/>
      <w:r>
        <w:rPr>
          <w:rStyle w:val="18"/>
          <w:rFonts w:hint="eastAsia" w:ascii="仿宋" w:hAnsi="仿宋" w:eastAsia="仿宋" w:cs="仿宋"/>
          <w:b w:val="0"/>
          <w:bCs/>
          <w:spacing w:val="-4"/>
          <w:kern w:val="2"/>
          <w:sz w:val="32"/>
          <w:szCs w:val="32"/>
          <w:highlight w:val="none"/>
          <w:lang w:val="en-US" w:eastAsia="zh-CN" w:bidi="ar-SA"/>
        </w:rPr>
        <w:t>平抑建材市场价格，帮助贫困户建房降低成本，多方联系生产厂家，以最低价供应建材物资，为每户贫困户建房节约建材折合资金资金2000元左右，同时，就近就地安置孤寡老人，为25户孤寡老人修建“幸福大院”3处，截止目前，全县已经修建“幸福大院”18处。四是转变作风，强化贫困户自身动力。积极动员建房户主体地位，通过举办泥瓦工培训工程施工等，提高和锻炼了施工技能，采取农户自愿、互帮互助等形式，避免大包大揽，全县有1100多农民参加了安居工程施工，增加了贫困群众经济收入。根据人均住房面积13平方和贫困户住房40-60面积的要求，在建房户个人经济条件允许的前提下，自主选择住房面积，不下行政命令。五是按照项目资金管理使用办法,到位资金在五个工作日全部拨付到位，通过“一卡通”及时发放，确保建房进度和质量。同时，加大农村安居工程政策宣传，清查收缴违规建房、重复建房享受建房补助力度，</w:t>
      </w:r>
    </w:p>
    <w:p>
      <w:pPr>
        <w:keepLines w:val="0"/>
        <w:pageBreakBefore w:val="0"/>
        <w:kinsoku/>
        <w:wordWrap/>
        <w:overflowPunct/>
        <w:topLinePunct w:val="0"/>
        <w:autoSpaceDE/>
        <w:autoSpaceDN/>
        <w:bidi w:val="0"/>
        <w:spacing w:line="560" w:lineRule="exact"/>
        <w:ind w:firstLine="627" w:firstLineChars="200"/>
        <w:textAlignment w:val="auto"/>
        <w:outlineLvl w:val="1"/>
        <w:rPr>
          <w:rFonts w:hint="eastAsia" w:ascii="楷体_GB2312" w:hAnsi="楷体" w:eastAsia="楷体_GB2312" w:cs="Times New Roman"/>
          <w:b/>
          <w:bCs/>
          <w:spacing w:val="-4"/>
          <w:kern w:val="0"/>
          <w:sz w:val="32"/>
          <w:szCs w:val="32"/>
          <w:lang w:val="en-US" w:eastAsia="zh-CN" w:bidi="ar-SA"/>
        </w:rPr>
      </w:pPr>
      <w:r>
        <w:rPr>
          <w:rFonts w:hint="eastAsia" w:ascii="楷体" w:hAnsi="楷体" w:eastAsia="楷体" w:cs="楷体"/>
          <w:b/>
          <w:bCs/>
          <w:spacing w:val="-4"/>
          <w:kern w:val="0"/>
          <w:sz w:val="32"/>
          <w:szCs w:val="32"/>
          <w:lang w:val="en-US" w:eastAsia="zh-CN" w:bidi="ar-SA"/>
        </w:rPr>
        <w:t>（二）存在问题</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 xml:space="preserve">一是对建房政策理解不深、把握不够。比如:一些非农户口长期在农村从事农业生产,有宅基地、有耕地,户口性质为非农户口,按照现行建房补助政策,不能享受农村安居房补助政策;另一种情况,随着小城镇建设,将农业户口转入非农户口,但仍然从事农业生产,享受不了农村安居工程补助,由于缺乏政策理解能力,县、乡安居办无法合理解释,也没有及时向上级主管部门反映问题,缺乏解决间题的能力。二是服务意识淡薄,主体责任缺失。按照自治区农村安居工程建设有关管理规定,县、乡、村都要成立农村安居工程领导小组,对工程质量、工程进度进行监督检査,由于危房改造点多、面广,乡、村两级负责分管领导和干部忙于团结安定和脱贫攻坚等其他工作,没有按照上级要求每周一次到工地监督检查, 建房户自购的一些建材以次充好,为了省钱个别农户不按图纸、技术要求施工,在整改过程中一定程度上给建房户造成了损失,工程质量监督工作没有从源头上盯紧看死。                          </w:t>
      </w:r>
    </w:p>
    <w:p>
      <w:pPr>
        <w:keepLines w:val="0"/>
        <w:pageBreakBefore w:val="0"/>
        <w:kinsoku/>
        <w:wordWrap/>
        <w:overflowPunct/>
        <w:topLinePunct w:val="0"/>
        <w:autoSpaceDE/>
        <w:autoSpaceDN/>
        <w:bidi w:val="0"/>
        <w:spacing w:line="560" w:lineRule="exact"/>
        <w:ind w:firstLine="627" w:firstLineChars="200"/>
        <w:textAlignment w:val="auto"/>
        <w:outlineLvl w:val="1"/>
        <w:rPr>
          <w:rFonts w:hint="eastAsia" w:ascii="楷体" w:hAnsi="楷体" w:eastAsia="楷体" w:cs="楷体"/>
          <w:b/>
          <w:bCs/>
          <w:spacing w:val="-4"/>
          <w:kern w:val="0"/>
          <w:sz w:val="32"/>
          <w:szCs w:val="32"/>
          <w:lang w:val="en-US" w:eastAsia="zh-CN" w:bidi="ar-SA"/>
        </w:rPr>
      </w:pPr>
      <w:r>
        <w:rPr>
          <w:rFonts w:hint="eastAsia" w:ascii="楷体" w:hAnsi="楷体" w:eastAsia="楷体" w:cs="楷体"/>
          <w:b/>
          <w:bCs/>
          <w:spacing w:val="-4"/>
          <w:kern w:val="0"/>
          <w:sz w:val="32"/>
          <w:szCs w:val="32"/>
          <w:lang w:val="en-US" w:eastAsia="zh-CN" w:bidi="ar-SA"/>
        </w:rPr>
        <w:t>（三）建议</w:t>
      </w:r>
    </w:p>
    <w:p>
      <w:pPr>
        <w:keepLines w:val="0"/>
        <w:pageBreakBefore w:val="0"/>
        <w:kinsoku/>
        <w:wordWrap/>
        <w:overflowPunct/>
        <w:topLinePunct w:val="0"/>
        <w:autoSpaceDE/>
        <w:autoSpaceDN/>
        <w:bidi w:val="0"/>
        <w:spacing w:line="560" w:lineRule="exact"/>
        <w:ind w:firstLine="640" w:firstLineChars="200"/>
        <w:textAlignment w:val="auto"/>
        <w:outlineLvl w:val="1"/>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无。</w:t>
      </w:r>
    </w:p>
    <w:p>
      <w:pPr>
        <w:keepLines w:val="0"/>
        <w:pageBreakBefore w:val="0"/>
        <w:kinsoku/>
        <w:wordWrap/>
        <w:overflowPunct/>
        <w:topLinePunct w:val="0"/>
        <w:autoSpaceDE/>
        <w:autoSpaceDN/>
        <w:bidi w:val="0"/>
        <w:spacing w:line="560" w:lineRule="exact"/>
        <w:ind w:firstLine="624" w:firstLineChars="200"/>
        <w:textAlignment w:val="auto"/>
        <w:outlineLvl w:val="0"/>
        <w:rPr>
          <w:rStyle w:val="18"/>
          <w:rFonts w:hint="eastAsia" w:ascii="黑体" w:hAnsi="黑体" w:eastAsia="黑体"/>
          <w:b w:val="0"/>
          <w:spacing w:val="-4"/>
          <w:sz w:val="32"/>
          <w:szCs w:val="32"/>
          <w:lang w:val="en-US" w:eastAsia="zh-CN"/>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w:t>
      </w:r>
      <w:r>
        <w:rPr>
          <w:rStyle w:val="18"/>
          <w:rFonts w:hint="eastAsia" w:ascii="黑体" w:hAnsi="黑体" w:eastAsia="黑体"/>
          <w:b w:val="0"/>
          <w:spacing w:val="-4"/>
          <w:sz w:val="32"/>
          <w:szCs w:val="32"/>
          <w:lang w:val="en-US" w:eastAsia="zh-CN"/>
        </w:rPr>
        <w:t>绩效</w:t>
      </w:r>
      <w:r>
        <w:rPr>
          <w:rStyle w:val="18"/>
          <w:rFonts w:hint="eastAsia" w:ascii="黑体" w:hAnsi="黑体" w:eastAsia="黑体"/>
          <w:b w:val="0"/>
          <w:spacing w:val="-4"/>
          <w:sz w:val="32"/>
          <w:szCs w:val="32"/>
        </w:rPr>
        <w:t>评价工作</w:t>
      </w:r>
      <w:r>
        <w:rPr>
          <w:rStyle w:val="18"/>
          <w:rFonts w:hint="eastAsia" w:ascii="黑体" w:hAnsi="黑体" w:eastAsia="黑体"/>
          <w:b w:val="0"/>
          <w:spacing w:val="-4"/>
          <w:sz w:val="32"/>
          <w:szCs w:val="32"/>
          <w:lang w:val="en-US" w:eastAsia="zh-CN"/>
        </w:rPr>
        <w:t>有关说明</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本次评价通过文件研读、实地调研、数据分析等方式，全面了解了项目资金的使用效率和效果，项目管理过程规范，按照实施方案完成了预期绩效目标。通过开展预算绩效管理和绩效自评工作，建立科学合理的绩效机制，客观准确的评价我单位项目绩效，不断完善绩效评价体系，加强监督检查和考核工作。同时，通过开展自我评价来总结经验,为今后同类项目的执行与实施提供了参考依据。</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 w:hAnsi="仿宋" w:eastAsia="仿宋" w:cs="仿宋"/>
          <w:b w:val="0"/>
          <w:spacing w:val="-4"/>
          <w:sz w:val="32"/>
          <w:szCs w:val="32"/>
          <w:highlight w:val="none"/>
          <w:lang w:val="en-US" w:eastAsia="zh-CN"/>
        </w:rPr>
      </w:pPr>
      <w:r>
        <w:rPr>
          <w:rStyle w:val="18"/>
          <w:rFonts w:hint="eastAsia" w:ascii="仿宋" w:hAnsi="仿宋" w:eastAsia="仿宋" w:cs="仿宋"/>
          <w:b w:val="0"/>
          <w:spacing w:val="-4"/>
          <w:sz w:val="32"/>
          <w:szCs w:val="32"/>
          <w:highlight w:val="none"/>
          <w:lang w:val="en-US" w:eastAsia="zh-CN"/>
        </w:rPr>
        <w:t>本项目绩效自评结果将根据上级要求时间予以公开，接受社会公众监督。</w:t>
      </w:r>
    </w:p>
    <w:p>
      <w:pPr>
        <w:keepLines w:val="0"/>
        <w:pageBreakBefore w:val="0"/>
        <w:kinsoku/>
        <w:wordWrap/>
        <w:overflowPunct/>
        <w:topLinePunct w:val="0"/>
        <w:autoSpaceDE/>
        <w:autoSpaceDN/>
        <w:bidi w:val="0"/>
        <w:spacing w:line="560" w:lineRule="exact"/>
        <w:ind w:firstLine="624" w:firstLineChars="200"/>
        <w:textAlignment w:val="auto"/>
        <w:outlineLvl w:val="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九</w:t>
      </w:r>
      <w:r>
        <w:rPr>
          <w:rStyle w:val="18"/>
          <w:rFonts w:hint="eastAsia" w:ascii="黑体" w:hAnsi="黑体" w:eastAsia="黑体"/>
          <w:b w:val="0"/>
          <w:spacing w:val="-4"/>
          <w:sz w:val="32"/>
          <w:szCs w:val="32"/>
        </w:rPr>
        <w:t>、附表</w:t>
      </w:r>
    </w:p>
    <w:p>
      <w:pPr>
        <w:keepLines w:val="0"/>
        <w:pageBreakBefore w:val="0"/>
        <w:kinsoku/>
        <w:wordWrap/>
        <w:overflowPunct/>
        <w:topLinePunct w:val="0"/>
        <w:autoSpaceDE/>
        <w:autoSpaceDN/>
        <w:bidi w:val="0"/>
        <w:spacing w:line="560" w:lineRule="exact"/>
        <w:ind w:firstLine="643" w:firstLineChars="200"/>
        <w:textAlignment w:val="auto"/>
        <w:rPr>
          <w:rFonts w:hint="eastAsia" w:ascii="仿宋" w:hAnsi="仿宋" w:eastAsia="仿宋" w:cs="仿宋"/>
          <w:color w:val="000000"/>
          <w:sz w:val="32"/>
          <w:szCs w:val="32"/>
          <w:highlight w:val="none"/>
        </w:rPr>
      </w:pPr>
      <w:r>
        <w:rPr>
          <w:rFonts w:hint="eastAsia" w:ascii="仿宋" w:hAnsi="仿宋" w:eastAsia="仿宋" w:cs="仿宋"/>
          <w:b/>
          <w:bCs/>
          <w:color w:val="000000"/>
          <w:sz w:val="32"/>
          <w:szCs w:val="32"/>
        </w:rPr>
        <w:t>《</w:t>
      </w:r>
      <w:r>
        <w:rPr>
          <w:rFonts w:hint="eastAsia" w:ascii="仿宋" w:hAnsi="仿宋" w:eastAsia="仿宋" w:cs="仿宋"/>
          <w:b/>
          <w:bCs/>
          <w:color w:val="000000"/>
          <w:sz w:val="32"/>
          <w:szCs w:val="32"/>
          <w:lang w:val="en-US" w:eastAsia="zh-CN"/>
        </w:rPr>
        <w:t>绩效目标</w:t>
      </w:r>
      <w:r>
        <w:rPr>
          <w:rFonts w:hint="eastAsia" w:ascii="仿宋" w:hAnsi="仿宋" w:eastAsia="仿宋" w:cs="仿宋"/>
          <w:b/>
          <w:bCs/>
          <w:color w:val="000000"/>
          <w:sz w:val="32"/>
          <w:szCs w:val="32"/>
          <w:highlight w:val="none"/>
          <w:lang w:val="en-US" w:eastAsia="zh-CN"/>
        </w:rPr>
        <w:t>自评表</w:t>
      </w:r>
      <w:r>
        <w:rPr>
          <w:rFonts w:hint="eastAsia" w:ascii="仿宋" w:hAnsi="仿宋" w:eastAsia="仿宋" w:cs="仿宋"/>
          <w:b/>
          <w:bCs/>
          <w:color w:val="000000"/>
          <w:sz w:val="32"/>
          <w:szCs w:val="32"/>
          <w:highlight w:val="none"/>
        </w:rPr>
        <w:t>》</w:t>
      </w:r>
    </w:p>
    <w:p>
      <w:pPr>
        <w:rPr>
          <w:highlight w:val="yellow"/>
        </w:rPr>
      </w:pPr>
    </w:p>
    <w:p>
      <w:pPr>
        <w:widowControl/>
        <w:spacing w:after="200" w:line="276" w:lineRule="auto"/>
        <w:jc w:val="left"/>
        <w:rPr>
          <w:rStyle w:val="18"/>
          <w:rFonts w:ascii="仿宋" w:hAnsi="仿宋" w:eastAsia="仿宋"/>
          <w:b w:val="0"/>
          <w:spacing w:val="-4"/>
          <w:sz w:val="32"/>
          <w:szCs w:val="32"/>
        </w:rPr>
      </w:pPr>
    </w:p>
    <w:sectPr>
      <w:pgSz w:w="11906" w:h="16838"/>
      <w:pgMar w:top="1440" w:right="1558" w:bottom="1440" w:left="1800" w:header="851" w:footer="992" w:gutter="0"/>
      <w:pgNumType w:fmt="numberInDash" w:start="1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EFE9611-76FE-48C7-A234-D4629A5B362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embedRegular r:id="rId2" w:fontKey="{86C1CE10-B35A-4E9C-8CFB-60EE8E9774E0}"/>
  </w:font>
  <w:font w:name="方正小标宋_GBK">
    <w:altName w:val="微软雅黑"/>
    <w:panose1 w:val="03000509000000000000"/>
    <w:charset w:val="86"/>
    <w:family w:val="script"/>
    <w:pitch w:val="default"/>
    <w:sig w:usb0="00000000" w:usb1="00000000" w:usb2="00000000" w:usb3="00000000" w:csb0="00040000" w:csb1="00000000"/>
    <w:embedRegular r:id="rId3" w:fontKey="{36D7F24A-A6F4-4E09-AB09-EC238AFA8C0B}"/>
  </w:font>
  <w:font w:name="仿宋_GB2312">
    <w:panose1 w:val="02010609030101010101"/>
    <w:charset w:val="86"/>
    <w:family w:val="modern"/>
    <w:pitch w:val="default"/>
    <w:sig w:usb0="00000000" w:usb1="00000000" w:usb2="00000000" w:usb3="00000000" w:csb0="00000000" w:csb1="00000000"/>
    <w:embedRegular r:id="rId4" w:fontKey="{8F6639D7-1392-4DD5-9D82-E2DA2CC2A2DE}"/>
  </w:font>
  <w:font w:name="仿宋">
    <w:panose1 w:val="02010609060101010101"/>
    <w:charset w:val="86"/>
    <w:family w:val="modern"/>
    <w:pitch w:val="default"/>
    <w:sig w:usb0="800002BF" w:usb1="38CF7CFA" w:usb2="00000016" w:usb3="00000000" w:csb0="00040001" w:csb1="00000000"/>
    <w:embedRegular r:id="rId5" w:fontKey="{DA0CEBE2-0536-4D43-B7F5-BDD26CD53F84}"/>
  </w:font>
  <w:font w:name="楷体">
    <w:panose1 w:val="02010609060101010101"/>
    <w:charset w:val="86"/>
    <w:family w:val="modern"/>
    <w:pitch w:val="default"/>
    <w:sig w:usb0="800002BF" w:usb1="38CF7CFA" w:usb2="00000016" w:usb3="00000000" w:csb0="00040001" w:csb1="00000000"/>
    <w:embedRegular r:id="rId6" w:fontKey="{8D65393E-A778-4431-BBCA-06BBCD8F3D58}"/>
  </w:font>
  <w:font w:name="楷体_GB2312">
    <w:panose1 w:val="02010609030101010101"/>
    <w:charset w:val="86"/>
    <w:family w:val="modern"/>
    <w:pitch w:val="default"/>
    <w:sig w:usb0="00000000" w:usb1="00000000" w:usb2="00000000" w:usb3="00000000" w:csb0="00000000" w:csb1="00000000"/>
    <w:embedRegular r:id="rId7" w:fontKey="{7D03174E-E3BE-469C-B893-3BF278944E1E}"/>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819A2"/>
    <w:rsid w:val="00121AE4"/>
    <w:rsid w:val="00146AAD"/>
    <w:rsid w:val="001B3A40"/>
    <w:rsid w:val="001C1D3A"/>
    <w:rsid w:val="0031249D"/>
    <w:rsid w:val="004366A8"/>
    <w:rsid w:val="004A35B9"/>
    <w:rsid w:val="004E1174"/>
    <w:rsid w:val="00502BA7"/>
    <w:rsid w:val="005162F1"/>
    <w:rsid w:val="00535153"/>
    <w:rsid w:val="00554F82"/>
    <w:rsid w:val="0055767F"/>
    <w:rsid w:val="0056390D"/>
    <w:rsid w:val="005719B0"/>
    <w:rsid w:val="005D10D6"/>
    <w:rsid w:val="006B2AED"/>
    <w:rsid w:val="00855E3A"/>
    <w:rsid w:val="008D1AB1"/>
    <w:rsid w:val="00922CB9"/>
    <w:rsid w:val="00971C22"/>
    <w:rsid w:val="009E5CD9"/>
    <w:rsid w:val="00A10408"/>
    <w:rsid w:val="00A26421"/>
    <w:rsid w:val="00A4293B"/>
    <w:rsid w:val="00A67D50"/>
    <w:rsid w:val="00A8691A"/>
    <w:rsid w:val="00A94750"/>
    <w:rsid w:val="00AC1946"/>
    <w:rsid w:val="00B40063"/>
    <w:rsid w:val="00B41F61"/>
    <w:rsid w:val="00BA46E6"/>
    <w:rsid w:val="00C56C72"/>
    <w:rsid w:val="00C57EBA"/>
    <w:rsid w:val="00CA6457"/>
    <w:rsid w:val="00CF49A1"/>
    <w:rsid w:val="00D17F2E"/>
    <w:rsid w:val="00D30354"/>
    <w:rsid w:val="00DA4A92"/>
    <w:rsid w:val="00DE30B5"/>
    <w:rsid w:val="00DF42A0"/>
    <w:rsid w:val="00E305DF"/>
    <w:rsid w:val="00E769FE"/>
    <w:rsid w:val="00EA2CBE"/>
    <w:rsid w:val="00F32FEE"/>
    <w:rsid w:val="00FB10BB"/>
    <w:rsid w:val="047140E3"/>
    <w:rsid w:val="04D566FF"/>
    <w:rsid w:val="06B61BAE"/>
    <w:rsid w:val="06E54D0E"/>
    <w:rsid w:val="079A2698"/>
    <w:rsid w:val="07FC6403"/>
    <w:rsid w:val="0A6A09F3"/>
    <w:rsid w:val="0FFE28EE"/>
    <w:rsid w:val="12F07DED"/>
    <w:rsid w:val="13095B8B"/>
    <w:rsid w:val="19955BE7"/>
    <w:rsid w:val="1A914ECD"/>
    <w:rsid w:val="21311885"/>
    <w:rsid w:val="24985C4E"/>
    <w:rsid w:val="301F4191"/>
    <w:rsid w:val="3049608E"/>
    <w:rsid w:val="31BB0FB6"/>
    <w:rsid w:val="32423DB3"/>
    <w:rsid w:val="3516298A"/>
    <w:rsid w:val="38C06531"/>
    <w:rsid w:val="40D93CD7"/>
    <w:rsid w:val="43102BC6"/>
    <w:rsid w:val="452811D4"/>
    <w:rsid w:val="4757365D"/>
    <w:rsid w:val="4A5830B0"/>
    <w:rsid w:val="4CF14583"/>
    <w:rsid w:val="4E351A8F"/>
    <w:rsid w:val="53150A9E"/>
    <w:rsid w:val="55213A59"/>
    <w:rsid w:val="5C820AEB"/>
    <w:rsid w:val="5C8C17F8"/>
    <w:rsid w:val="5EB95499"/>
    <w:rsid w:val="5F704611"/>
    <w:rsid w:val="6089133A"/>
    <w:rsid w:val="68214E2E"/>
    <w:rsid w:val="6EE50BA2"/>
    <w:rsid w:val="6F81409A"/>
    <w:rsid w:val="70A861E2"/>
    <w:rsid w:val="723D1CB3"/>
    <w:rsid w:val="72963918"/>
    <w:rsid w:val="749C0772"/>
    <w:rsid w:val="752B0062"/>
    <w:rsid w:val="7707358C"/>
    <w:rsid w:val="7E994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qFormat="1"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7"/>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8"/>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9"/>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30"/>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31"/>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2"/>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3"/>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50"/>
    <w:semiHidden/>
    <w:unhideWhenUsed/>
    <w:qFormat/>
    <w:uiPriority w:val="99"/>
    <w:rPr>
      <w:sz w:val="18"/>
      <w:szCs w:val="18"/>
    </w:rPr>
  </w:style>
  <w:style w:type="paragraph" w:styleId="12">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semiHidden/>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6">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FollowedHyperlink"/>
    <w:basedOn w:val="17"/>
    <w:semiHidden/>
    <w:unhideWhenUsed/>
    <w:qFormat/>
    <w:uiPriority w:val="99"/>
    <w:rPr>
      <w:color w:val="595757"/>
      <w:u w:val="none"/>
    </w:rPr>
  </w:style>
  <w:style w:type="character" w:styleId="20">
    <w:name w:val="Emphasis"/>
    <w:basedOn w:val="17"/>
    <w:qFormat/>
    <w:uiPriority w:val="20"/>
    <w:rPr>
      <w:rFonts w:asciiTheme="minorHAnsi" w:hAnsiTheme="minorHAnsi"/>
      <w:b/>
      <w:i/>
      <w:iCs/>
    </w:rPr>
  </w:style>
  <w:style w:type="character" w:styleId="21">
    <w:name w:val="Hyperlink"/>
    <w:basedOn w:val="17"/>
    <w:semiHidden/>
    <w:unhideWhenUsed/>
    <w:qFormat/>
    <w:uiPriority w:val="99"/>
    <w:rPr>
      <w:color w:val="595757"/>
      <w:u w:val="none"/>
    </w:rPr>
  </w:style>
  <w:style w:type="character" w:styleId="22">
    <w:name w:val="HTML Code"/>
    <w:basedOn w:val="17"/>
    <w:semiHidden/>
    <w:unhideWhenUsed/>
    <w:qFormat/>
    <w:uiPriority w:val="99"/>
    <w:rPr>
      <w:rFonts w:ascii="Courier New" w:hAnsi="Courier New"/>
      <w:sz w:val="20"/>
    </w:rPr>
  </w:style>
  <w:style w:type="character" w:styleId="23">
    <w:name w:val="HTML Cite"/>
    <w:basedOn w:val="17"/>
    <w:semiHidden/>
    <w:unhideWhenUsed/>
    <w:qFormat/>
    <w:uiPriority w:val="99"/>
  </w:style>
  <w:style w:type="character" w:customStyle="1" w:styleId="25">
    <w:name w:val="标题 1 字符"/>
    <w:basedOn w:val="17"/>
    <w:link w:val="3"/>
    <w:qFormat/>
    <w:uiPriority w:val="9"/>
    <w:rPr>
      <w:rFonts w:asciiTheme="majorHAnsi" w:hAnsiTheme="majorHAnsi" w:eastAsiaTheme="majorEastAsia"/>
      <w:b/>
      <w:bCs/>
      <w:kern w:val="32"/>
      <w:sz w:val="32"/>
      <w:szCs w:val="32"/>
    </w:rPr>
  </w:style>
  <w:style w:type="character" w:customStyle="1" w:styleId="26">
    <w:name w:val="标题 2 字符"/>
    <w:basedOn w:val="17"/>
    <w:link w:val="4"/>
    <w:semiHidden/>
    <w:qFormat/>
    <w:uiPriority w:val="9"/>
    <w:rPr>
      <w:rFonts w:asciiTheme="majorHAnsi" w:hAnsiTheme="majorHAnsi" w:eastAsiaTheme="majorEastAsia"/>
      <w:b/>
      <w:bCs/>
      <w:i/>
      <w:iCs/>
      <w:sz w:val="28"/>
      <w:szCs w:val="28"/>
    </w:rPr>
  </w:style>
  <w:style w:type="character" w:customStyle="1" w:styleId="27">
    <w:name w:val="标题 3 字符"/>
    <w:basedOn w:val="17"/>
    <w:link w:val="2"/>
    <w:semiHidden/>
    <w:qFormat/>
    <w:uiPriority w:val="9"/>
    <w:rPr>
      <w:rFonts w:asciiTheme="majorHAnsi" w:hAnsiTheme="majorHAnsi" w:eastAsiaTheme="majorEastAsia"/>
      <w:b/>
      <w:bCs/>
      <w:sz w:val="26"/>
      <w:szCs w:val="26"/>
    </w:rPr>
  </w:style>
  <w:style w:type="character" w:customStyle="1" w:styleId="28">
    <w:name w:val="标题 4 字符"/>
    <w:basedOn w:val="17"/>
    <w:link w:val="5"/>
    <w:semiHidden/>
    <w:qFormat/>
    <w:uiPriority w:val="9"/>
    <w:rPr>
      <w:b/>
      <w:bCs/>
      <w:sz w:val="28"/>
      <w:szCs w:val="28"/>
    </w:rPr>
  </w:style>
  <w:style w:type="character" w:customStyle="1" w:styleId="29">
    <w:name w:val="标题 5 字符"/>
    <w:basedOn w:val="17"/>
    <w:link w:val="6"/>
    <w:semiHidden/>
    <w:qFormat/>
    <w:uiPriority w:val="9"/>
    <w:rPr>
      <w:b/>
      <w:bCs/>
      <w:i/>
      <w:iCs/>
      <w:sz w:val="26"/>
      <w:szCs w:val="26"/>
    </w:rPr>
  </w:style>
  <w:style w:type="character" w:customStyle="1" w:styleId="30">
    <w:name w:val="标题 6 字符"/>
    <w:basedOn w:val="17"/>
    <w:link w:val="7"/>
    <w:semiHidden/>
    <w:qFormat/>
    <w:uiPriority w:val="9"/>
    <w:rPr>
      <w:b/>
      <w:bCs/>
    </w:rPr>
  </w:style>
  <w:style w:type="character" w:customStyle="1" w:styleId="31">
    <w:name w:val="标题 7 字符"/>
    <w:basedOn w:val="17"/>
    <w:link w:val="8"/>
    <w:semiHidden/>
    <w:qFormat/>
    <w:uiPriority w:val="9"/>
    <w:rPr>
      <w:sz w:val="24"/>
      <w:szCs w:val="24"/>
    </w:rPr>
  </w:style>
  <w:style w:type="character" w:customStyle="1" w:styleId="32">
    <w:name w:val="标题 8 字符"/>
    <w:basedOn w:val="17"/>
    <w:link w:val="9"/>
    <w:semiHidden/>
    <w:qFormat/>
    <w:uiPriority w:val="9"/>
    <w:rPr>
      <w:i/>
      <w:iCs/>
      <w:sz w:val="24"/>
      <w:szCs w:val="24"/>
    </w:rPr>
  </w:style>
  <w:style w:type="character" w:customStyle="1" w:styleId="33">
    <w:name w:val="标题 9 字符"/>
    <w:basedOn w:val="17"/>
    <w:link w:val="10"/>
    <w:semiHidden/>
    <w:qFormat/>
    <w:uiPriority w:val="9"/>
    <w:rPr>
      <w:rFonts w:asciiTheme="majorHAnsi" w:hAnsiTheme="majorHAnsi" w:eastAsiaTheme="majorEastAsia"/>
    </w:rPr>
  </w:style>
  <w:style w:type="character" w:customStyle="1" w:styleId="34">
    <w:name w:val="标题 字符"/>
    <w:basedOn w:val="17"/>
    <w:link w:val="16"/>
    <w:qFormat/>
    <w:uiPriority w:val="10"/>
    <w:rPr>
      <w:rFonts w:asciiTheme="majorHAnsi" w:hAnsiTheme="majorHAnsi" w:eastAsiaTheme="majorEastAsia"/>
      <w:b/>
      <w:bCs/>
      <w:kern w:val="28"/>
      <w:sz w:val="32"/>
      <w:szCs w:val="32"/>
    </w:rPr>
  </w:style>
  <w:style w:type="character" w:customStyle="1" w:styleId="35">
    <w:name w:val="副标题 字符"/>
    <w:basedOn w:val="17"/>
    <w:link w:val="14"/>
    <w:qFormat/>
    <w:uiPriority w:val="11"/>
    <w:rPr>
      <w:rFonts w:asciiTheme="majorHAnsi" w:hAnsiTheme="majorHAnsi" w:eastAsiaTheme="majorEastAsia"/>
      <w:sz w:val="24"/>
      <w:szCs w:val="24"/>
    </w:rPr>
  </w:style>
  <w:style w:type="paragraph"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字符"/>
    <w:basedOn w:val="17"/>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17"/>
    <w:link w:val="40"/>
    <w:qFormat/>
    <w:uiPriority w:val="30"/>
    <w:rPr>
      <w:b/>
      <w:i/>
      <w:sz w:val="24"/>
    </w:rPr>
  </w:style>
  <w:style w:type="character" w:customStyle="1" w:styleId="42">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Intense Emphasis"/>
    <w:basedOn w:val="17"/>
    <w:qFormat/>
    <w:uiPriority w:val="21"/>
    <w:rPr>
      <w:b/>
      <w:i/>
      <w:sz w:val="24"/>
      <w:szCs w:val="24"/>
      <w:u w:val="single"/>
    </w:rPr>
  </w:style>
  <w:style w:type="character" w:customStyle="1" w:styleId="44">
    <w:name w:val="Subtle Reference"/>
    <w:basedOn w:val="17"/>
    <w:qFormat/>
    <w:uiPriority w:val="31"/>
    <w:rPr>
      <w:sz w:val="24"/>
      <w:szCs w:val="24"/>
      <w:u w:val="single"/>
    </w:rPr>
  </w:style>
  <w:style w:type="character" w:customStyle="1" w:styleId="45">
    <w:name w:val="Intense Reference"/>
    <w:basedOn w:val="17"/>
    <w:qFormat/>
    <w:uiPriority w:val="32"/>
    <w:rPr>
      <w:b/>
      <w:sz w:val="24"/>
      <w:u w:val="single"/>
    </w:rPr>
  </w:style>
  <w:style w:type="character" w:customStyle="1" w:styleId="46">
    <w:name w:val="Book Title"/>
    <w:basedOn w:val="17"/>
    <w:qFormat/>
    <w:uiPriority w:val="33"/>
    <w:rPr>
      <w:rFonts w:asciiTheme="majorHAnsi" w:hAnsiTheme="majorHAnsi" w:eastAsiaTheme="majorEastAsia"/>
      <w:b/>
      <w:i/>
      <w:sz w:val="24"/>
      <w:szCs w:val="24"/>
    </w:rPr>
  </w:style>
  <w:style w:type="paragraph" w:customStyle="1" w:styleId="47">
    <w:name w:val="TOC Heading"/>
    <w:basedOn w:val="3"/>
    <w:next w:val="1"/>
    <w:semiHidden/>
    <w:unhideWhenUsed/>
    <w:qFormat/>
    <w:uiPriority w:val="39"/>
    <w:pPr>
      <w:outlineLvl w:val="9"/>
    </w:pPr>
    <w:rPr>
      <w:lang w:eastAsia="en-US" w:bidi="en-US"/>
    </w:rPr>
  </w:style>
  <w:style w:type="character" w:customStyle="1" w:styleId="48">
    <w:name w:val="页眉 字符"/>
    <w:basedOn w:val="17"/>
    <w:link w:val="13"/>
    <w:qFormat/>
    <w:uiPriority w:val="99"/>
    <w:rPr>
      <w:rFonts w:ascii="Calibri" w:hAnsi="Calibri" w:eastAsia="宋体"/>
      <w:kern w:val="2"/>
      <w:sz w:val="18"/>
      <w:szCs w:val="18"/>
    </w:rPr>
  </w:style>
  <w:style w:type="character" w:customStyle="1" w:styleId="49">
    <w:name w:val="页脚 字符"/>
    <w:basedOn w:val="17"/>
    <w:link w:val="12"/>
    <w:qFormat/>
    <w:uiPriority w:val="99"/>
    <w:rPr>
      <w:rFonts w:ascii="Calibri" w:hAnsi="Calibri" w:eastAsia="宋体"/>
      <w:kern w:val="2"/>
      <w:sz w:val="18"/>
      <w:szCs w:val="18"/>
    </w:rPr>
  </w:style>
  <w:style w:type="character" w:customStyle="1" w:styleId="50">
    <w:name w:val="批注框文本 字符"/>
    <w:basedOn w:val="17"/>
    <w:link w:val="11"/>
    <w:semiHidden/>
    <w:qFormat/>
    <w:uiPriority w:val="99"/>
    <w:rPr>
      <w:rFonts w:ascii="Times New Roman" w:hAnsi="Times New Roman" w:eastAsia="宋体"/>
      <w:kern w:val="2"/>
      <w:sz w:val="18"/>
      <w:szCs w:val="18"/>
    </w:rPr>
  </w:style>
  <w:style w:type="character" w:customStyle="1" w:styleId="51">
    <w:name w:val="font01"/>
    <w:basedOn w:val="17"/>
    <w:qFormat/>
    <w:uiPriority w:val="0"/>
    <w:rPr>
      <w:rFonts w:hint="eastAsia" w:ascii="宋体" w:hAnsi="宋体" w:eastAsia="宋体" w:cs="宋体"/>
      <w:color w:val="000000"/>
      <w:sz w:val="32"/>
      <w:szCs w:val="3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219</Words>
  <Characters>1251</Characters>
  <Lines>10</Lines>
  <Paragraphs>2</Paragraphs>
  <TotalTime>27</TotalTime>
  <ScaleCrop>false</ScaleCrop>
  <LinksUpToDate>false</LinksUpToDate>
  <CharactersWithSpaces>1468</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2019-10-31T09:00:00Z</dcterms:created>
  <dc:creator>赵 恺（预算处）</dc:creator>
  <cp:lastModifiedBy>Administrator</cp:lastModifiedBy>
  <cp:lastPrinted>2019-12-26T08:56:00Z</cp:lastPrinted>
  <dcterms:modified xsi:type="dcterms:W3CDTF">2020-08-23T11:01:24Z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