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cs="宋体"/>
          <w:kern w:val="0"/>
          <w:sz w:val="28"/>
          <w:szCs w:val="28"/>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rPr>
          <w:rFonts w:hAnsi="宋体" w:eastAsia="仿宋_GB2312" w:cs="宋体"/>
          <w:kern w:val="0"/>
          <w:sz w:val="30"/>
          <w:szCs w:val="30"/>
        </w:rPr>
      </w:pPr>
    </w:p>
    <w:p/>
    <w:p>
      <w:pPr>
        <w:spacing w:line="540" w:lineRule="exact"/>
        <w:rPr>
          <w:rFonts w:hAnsi="宋体" w:eastAsia="仿宋_GB2312" w:cs="宋体"/>
          <w:kern w:val="0"/>
          <w:sz w:val="30"/>
          <w:szCs w:val="30"/>
        </w:rPr>
      </w:pPr>
    </w:p>
    <w:p>
      <w:pPr>
        <w:spacing w:line="540" w:lineRule="exact"/>
        <w:ind w:firstLine="640" w:firstLineChars="200"/>
        <w:jc w:val="both"/>
        <w:rPr>
          <w:rFonts w:hint="eastAsia" w:ascii="仿宋" w:hAnsi="仿宋" w:eastAsia="仿宋" w:cs="仿宋"/>
          <w:kern w:val="0"/>
          <w:sz w:val="32"/>
          <w:szCs w:val="32"/>
          <w:lang w:eastAsia="zh-CN"/>
        </w:rPr>
      </w:pPr>
      <w:r>
        <w:rPr>
          <w:rFonts w:hint="eastAsia" w:ascii="仿宋" w:hAnsi="仿宋" w:eastAsia="仿宋" w:cs="仿宋"/>
          <w:kern w:val="0"/>
          <w:sz w:val="32"/>
          <w:szCs w:val="32"/>
        </w:rPr>
        <w:t>项目名称：</w:t>
      </w:r>
      <w:r>
        <w:rPr>
          <w:rFonts w:hint="eastAsia" w:ascii="仿宋" w:hAnsi="仿宋" w:eastAsia="仿宋" w:cs="仿宋"/>
          <w:kern w:val="0"/>
          <w:sz w:val="32"/>
          <w:szCs w:val="32"/>
          <w:lang w:eastAsia="zh-CN"/>
        </w:rPr>
        <w:t>农村安居工程项目</w:t>
      </w:r>
    </w:p>
    <w:p>
      <w:pPr>
        <w:spacing w:line="700" w:lineRule="exact"/>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 xml:space="preserve">    实施单位（公章）：</w:t>
      </w:r>
      <w:r>
        <w:rPr>
          <w:rFonts w:hint="eastAsia" w:ascii="仿宋" w:hAnsi="仿宋" w:eastAsia="仿宋" w:cs="仿宋"/>
          <w:kern w:val="0"/>
          <w:sz w:val="32"/>
          <w:szCs w:val="32"/>
          <w:lang w:val="en-US" w:eastAsia="zh-CN"/>
        </w:rPr>
        <w:t>库尔玛乡人民政府</w:t>
      </w:r>
    </w:p>
    <w:p>
      <w:pPr>
        <w:spacing w:line="700" w:lineRule="exact"/>
        <w:ind w:left="3598" w:leftChars="342" w:hanging="2880" w:hangingChars="900"/>
        <w:jc w:val="left"/>
        <w:rPr>
          <w:rFonts w:hint="eastAsia" w:ascii="仿宋" w:hAnsi="仿宋" w:eastAsia="仿宋" w:cs="仿宋"/>
          <w:kern w:val="0"/>
          <w:sz w:val="32"/>
          <w:szCs w:val="32"/>
        </w:rPr>
      </w:pPr>
      <w:r>
        <w:rPr>
          <w:rFonts w:hint="eastAsia" w:ascii="仿宋" w:hAnsi="仿宋" w:eastAsia="仿宋" w:cs="仿宋"/>
          <w:kern w:val="0"/>
          <w:sz w:val="32"/>
          <w:szCs w:val="32"/>
        </w:rPr>
        <w:t>主管部门（公章）：</w:t>
      </w:r>
      <w:r>
        <w:rPr>
          <w:rFonts w:hint="eastAsia" w:ascii="仿宋" w:hAnsi="仿宋" w:eastAsia="仿宋" w:cs="仿宋"/>
          <w:kern w:val="0"/>
          <w:sz w:val="32"/>
          <w:szCs w:val="32"/>
          <w:lang w:val="en-US" w:eastAsia="zh-CN"/>
        </w:rPr>
        <w:t>麦盖提县抗震安居办</w:t>
      </w:r>
    </w:p>
    <w:p>
      <w:pPr>
        <w:spacing w:line="700" w:lineRule="exact"/>
        <w:ind w:firstLine="755" w:firstLineChars="236"/>
        <w:jc w:val="left"/>
        <w:rPr>
          <w:rFonts w:hint="eastAsia" w:ascii="仿宋" w:hAnsi="仿宋" w:eastAsia="仿宋" w:cs="仿宋"/>
          <w:kern w:val="0"/>
          <w:sz w:val="32"/>
          <w:szCs w:val="32"/>
          <w:lang w:eastAsia="zh-CN"/>
        </w:rPr>
      </w:pPr>
      <w:r>
        <w:rPr>
          <w:rFonts w:hint="eastAsia" w:ascii="仿宋" w:hAnsi="仿宋" w:eastAsia="仿宋" w:cs="仿宋"/>
          <w:kern w:val="0"/>
          <w:sz w:val="32"/>
          <w:szCs w:val="32"/>
        </w:rPr>
        <w:t>项目负责人（签章）：</w:t>
      </w:r>
      <w:r>
        <w:rPr>
          <w:rFonts w:hint="eastAsia" w:ascii="仿宋" w:hAnsi="仿宋" w:eastAsia="仿宋" w:cs="仿宋"/>
          <w:kern w:val="0"/>
          <w:sz w:val="32"/>
          <w:szCs w:val="32"/>
          <w:lang w:eastAsia="zh-CN"/>
        </w:rPr>
        <w:t>陶万林</w:t>
      </w:r>
    </w:p>
    <w:p>
      <w:pPr>
        <w:spacing w:line="700" w:lineRule="exact"/>
        <w:ind w:firstLine="755" w:firstLineChars="236"/>
        <w:jc w:val="left"/>
        <w:rPr>
          <w:rFonts w:hint="eastAsia" w:ascii="仿宋" w:hAnsi="仿宋" w:eastAsia="仿宋" w:cs="仿宋"/>
          <w:kern w:val="0"/>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 xml:space="preserve">12 </w:t>
      </w:r>
      <w:r>
        <w:rPr>
          <w:rFonts w:hint="eastAsia" w:ascii="仿宋" w:hAnsi="仿宋" w:eastAsia="仿宋" w:cs="仿宋"/>
          <w:kern w:val="0"/>
          <w:sz w:val="32"/>
          <w:szCs w:val="32"/>
        </w:rPr>
        <w:t xml:space="preserve">月 </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rPr>
        <w:t>日</w:t>
      </w:r>
    </w:p>
    <w:p>
      <w:r>
        <w:rPr>
          <w:rFonts w:hint="eastAsia" w:hAnsi="宋体" w:eastAsia="仿宋_GB2312" w:cs="宋体"/>
          <w:kern w:val="0"/>
          <w:sz w:val="36"/>
          <w:szCs w:val="36"/>
        </w:rPr>
        <w:br w:type="page"/>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（一）项目单位基本情况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单位职能：农村危房改造项目牵头单位为麦盖提县住房和城乡建设安居富民领导小组办公室，主要职责是负责农村危房改造工作的协调、监督、指导等；农村危房改造的责任主体是乡镇（场）政府，主要负责危房改造工作的具体实施。</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2.单位人员情况：编制3名工作人员、其中：办公室主任一名，一般干部两名，现无在编干部，空编3名，从各单位抽调5名干部；</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rPr>
        <w:t>（二）</w:t>
      </w:r>
      <w:r>
        <w:rPr>
          <w:rStyle w:val="18"/>
          <w:rFonts w:hint="eastAsia" w:ascii="楷体_GB2312" w:hAnsi="楷体" w:eastAsia="楷体_GB2312"/>
          <w:spacing w:val="-4"/>
          <w:sz w:val="32"/>
          <w:szCs w:val="32"/>
          <w:lang w:val="en-US" w:eastAsia="zh-CN"/>
        </w:rPr>
        <w:t>项目简介</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default" w:ascii="仿宋_GB2312" w:hAnsi="仿宋" w:eastAsia="仿宋_GB2312" w:cs="Times New Roman"/>
          <w:b w:val="0"/>
          <w:spacing w:val="-4"/>
          <w:sz w:val="32"/>
          <w:szCs w:val="32"/>
          <w:lang w:val="en-US" w:eastAsia="zh-CN"/>
        </w:rPr>
        <w:t>1</w:t>
      </w:r>
      <w:r>
        <w:rPr>
          <w:rStyle w:val="18"/>
          <w:rFonts w:hint="eastAsia" w:ascii="仿宋_GB2312" w:hAnsi="仿宋" w:eastAsia="仿宋_GB2312" w:cs="Times New Roman"/>
          <w:b w:val="0"/>
          <w:spacing w:val="-4"/>
          <w:sz w:val="32"/>
          <w:szCs w:val="32"/>
          <w:lang w:val="en-US" w:eastAsia="zh-CN"/>
        </w:rPr>
        <w:t>.</w:t>
      </w:r>
      <w:r>
        <w:rPr>
          <w:rStyle w:val="18"/>
          <w:rFonts w:hint="default" w:ascii="仿宋_GB2312" w:hAnsi="仿宋" w:eastAsia="仿宋_GB2312" w:cs="Times New Roman"/>
          <w:b w:val="0"/>
          <w:spacing w:val="-4"/>
          <w:sz w:val="32"/>
          <w:szCs w:val="32"/>
          <w:lang w:val="en-US" w:eastAsia="zh-CN"/>
        </w:rPr>
        <w:t>为我县库尔玛乡两户建档立卡贫困户的危房重建改造提供补助，每户补助4.4万元，其中扶贫资金2.4万元，援疆资金2万元。</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default"/>
          <w:sz w:val="32"/>
          <w:szCs w:val="32"/>
          <w:lang w:val="en-US" w:eastAsia="zh-CN"/>
        </w:rPr>
      </w:pPr>
      <w:r>
        <w:rPr>
          <w:rStyle w:val="18"/>
          <w:rFonts w:hint="default" w:ascii="仿宋_GB2312" w:hAnsi="仿宋" w:eastAsia="仿宋_GB2312" w:cs="Times New Roman"/>
          <w:b w:val="0"/>
          <w:spacing w:val="-4"/>
          <w:sz w:val="32"/>
          <w:szCs w:val="32"/>
          <w:lang w:val="en-US" w:eastAsia="zh-CN"/>
        </w:rPr>
        <w:t>2</w:t>
      </w:r>
      <w:r>
        <w:rPr>
          <w:rStyle w:val="18"/>
          <w:rFonts w:hint="eastAsia" w:ascii="仿宋_GB2312" w:hAnsi="仿宋" w:eastAsia="仿宋_GB2312" w:cs="Times New Roman"/>
          <w:b w:val="0"/>
          <w:spacing w:val="-4"/>
          <w:sz w:val="32"/>
          <w:szCs w:val="32"/>
          <w:lang w:val="en-US" w:eastAsia="zh-CN"/>
        </w:rPr>
        <w:t>.</w:t>
      </w:r>
      <w:r>
        <w:rPr>
          <w:rStyle w:val="18"/>
          <w:rFonts w:hint="default" w:ascii="仿宋_GB2312" w:hAnsi="仿宋" w:eastAsia="仿宋_GB2312" w:cs="Times New Roman"/>
          <w:b w:val="0"/>
          <w:spacing w:val="-4"/>
          <w:sz w:val="32"/>
          <w:szCs w:val="32"/>
          <w:lang w:val="en-US" w:eastAsia="zh-CN"/>
        </w:rPr>
        <w:t>通过实施农村危房改造工作，有效地改善了农村贫困农户居住条件，实现贫困户群众安居梦想。从此以后，农民群众再也不用为突发性的自然灾害而担惊受怕，人民群众的生命财产安全得到了保障，为社会主义新农村建设打下基础。</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lang w:eastAsia="zh-CN"/>
        </w:rPr>
        <w:t>（</w:t>
      </w:r>
      <w:r>
        <w:rPr>
          <w:rStyle w:val="18"/>
          <w:rFonts w:hint="eastAsia" w:ascii="楷体_GB2312" w:hAnsi="楷体" w:eastAsia="楷体_GB2312"/>
          <w:spacing w:val="-4"/>
          <w:sz w:val="32"/>
          <w:szCs w:val="32"/>
          <w:lang w:val="en-US" w:eastAsia="zh-CN"/>
        </w:rPr>
        <w:t>三）</w:t>
      </w:r>
      <w:r>
        <w:rPr>
          <w:rStyle w:val="18"/>
          <w:rFonts w:hint="eastAsia" w:ascii="楷体_GB2312" w:hAnsi="楷体" w:eastAsia="楷体_GB2312"/>
          <w:spacing w:val="-4"/>
          <w:sz w:val="32"/>
          <w:szCs w:val="32"/>
        </w:rPr>
        <w:t>项目预算绩效目标设定情况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1.预期目标及阶段性目标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rPr>
      </w:pPr>
      <w:r>
        <w:rPr>
          <w:rStyle w:val="18"/>
          <w:rFonts w:hint="eastAsia" w:ascii="仿宋_GB2312" w:hAnsi="仿宋" w:eastAsia="仿宋_GB2312" w:cs="Times New Roman"/>
          <w:b w:val="0"/>
          <w:spacing w:val="-4"/>
          <w:sz w:val="32"/>
          <w:szCs w:val="32"/>
          <w:lang w:val="en-US" w:eastAsia="zh-CN"/>
        </w:rPr>
        <w:t xml:space="preserve">2019年完成2户建档立卡贫困户农村危房改造项目。                                                                                  新建2户建档立卡贫困户农村危房改造项目，达到住房安全稳固、遮风避雨、厨卫入院的基本要求，使人居环境得到改善，让人民群众有安全住房居住，使人居环境得到改善。   </w:t>
      </w:r>
      <w:r>
        <w:rPr>
          <w:rStyle w:val="18"/>
          <w:rFonts w:hint="eastAsia" w:ascii="仿宋_GB2312" w:hAnsi="仿宋" w:eastAsia="仿宋_GB2312" w:cs="Times New Roman"/>
          <w:b w:val="0"/>
          <w:spacing w:val="-4"/>
          <w:sz w:val="32"/>
          <w:szCs w:val="32"/>
        </w:rPr>
        <w:t xml:space="preserve">    </w:t>
      </w:r>
      <w:r>
        <w:rPr>
          <w:rFonts w:hint="eastAsia"/>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2.项目基本性质、用途</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新建或扩建农村安居房</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3.主要内容、涉及范围</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2019年上级下达我县建档立卡贫困户危房改造建设任务2户，涉及1个乡镇场（库尔玛乡）。</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highlight w:val="yellow"/>
          <w:lang w:val="en-US" w:eastAsia="zh-CN"/>
        </w:rPr>
      </w:pPr>
      <w:r>
        <w:rPr>
          <w:rStyle w:val="18"/>
          <w:rFonts w:hint="eastAsia" w:ascii="仿宋_GB2312" w:hAnsi="仿宋" w:eastAsia="仿宋_GB2312" w:cs="Times New Roman"/>
          <w:b w:val="0"/>
          <w:spacing w:val="-4"/>
          <w:sz w:val="32"/>
          <w:szCs w:val="32"/>
          <w:lang w:val="en-US" w:eastAsia="zh-CN"/>
        </w:rPr>
        <w:t>2019年上级下达我县建档立卡贫困户建设任务2户，上级补助资金实际到位8.8万元，</w:t>
      </w:r>
      <w:r>
        <w:rPr>
          <w:rStyle w:val="18"/>
          <w:rFonts w:hint="eastAsia" w:ascii="仿宋_GB2312" w:hAnsi="仿宋" w:eastAsia="仿宋_GB2312" w:cs="Times New Roman"/>
          <w:b w:val="0"/>
          <w:spacing w:val="-4"/>
          <w:sz w:val="32"/>
          <w:szCs w:val="32"/>
          <w:highlight w:val="none"/>
          <w:lang w:val="en-US" w:eastAsia="zh-CN"/>
        </w:rPr>
        <w:t>其中：中央补助资金4.8万元，援疆补助资金4万元。</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建档立卡贫困户户均补助4.4万元/户，其中：中央补助1.6万元，自治区补助0.8万元/户，援疆补助2万元/户，两户补助资金8.8万元，已全部支付。</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Arial" w:hAnsi="Arial" w:eastAsia="仿宋" w:cs="Arial"/>
          <w:kern w:val="0"/>
          <w:sz w:val="32"/>
          <w:szCs w:val="32"/>
          <w:highlight w:val="none"/>
          <w:lang w:val="en-US" w:eastAsia="zh-CN"/>
        </w:rPr>
      </w:pPr>
      <w:r>
        <w:rPr>
          <w:rStyle w:val="18"/>
          <w:rFonts w:hint="eastAsia" w:ascii="仿宋_GB2312" w:hAnsi="仿宋" w:eastAsia="仿宋_GB2312" w:cs="Times New Roman"/>
          <w:b w:val="0"/>
          <w:spacing w:val="-4"/>
          <w:sz w:val="32"/>
          <w:szCs w:val="32"/>
          <w:lang w:val="en-US" w:eastAsia="zh-CN"/>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（一）项目组织情况分析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该项目属于入户项目,由本单位自行组织实施。实施过程均按照本单位制定的管理制度执行。</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（二）项目管理情况分析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项目实施过程中，安居富民办公室制定了《麦盖提县农村安居工程管理办法》，保障项目的顺利实施。项目的实施遵守相关法律法规和业务管理规定，项目资料齐全并及时归档。已建立《2019年度日常检查监督检查机制》，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四、项目绩效目标完成情况分析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本项目共设置一级指标3个，二级</w:t>
      </w:r>
      <w:r>
        <w:rPr>
          <w:rStyle w:val="18"/>
          <w:rFonts w:hint="eastAsia" w:ascii="仿宋_GB2312" w:hAnsi="仿宋" w:eastAsia="仿宋_GB2312"/>
          <w:b w:val="0"/>
          <w:spacing w:val="-4"/>
          <w:sz w:val="32"/>
          <w:szCs w:val="32"/>
          <w:highlight w:val="none"/>
        </w:rPr>
        <w:t>指标</w:t>
      </w:r>
      <w:r>
        <w:rPr>
          <w:rStyle w:val="18"/>
          <w:rFonts w:hint="eastAsia" w:ascii="仿宋_GB2312" w:hAnsi="仿宋" w:eastAsia="仿宋_GB2312"/>
          <w:b w:val="0"/>
          <w:spacing w:val="-4"/>
          <w:sz w:val="32"/>
          <w:szCs w:val="32"/>
          <w:highlight w:val="none"/>
          <w:lang w:val="en-US" w:eastAsia="zh-CN"/>
        </w:rPr>
        <w:t>7</w:t>
      </w:r>
      <w:r>
        <w:rPr>
          <w:rStyle w:val="18"/>
          <w:rFonts w:hint="eastAsia" w:ascii="仿宋_GB2312" w:hAnsi="仿宋" w:eastAsia="仿宋_GB2312"/>
          <w:b w:val="0"/>
          <w:spacing w:val="-4"/>
          <w:sz w:val="32"/>
          <w:szCs w:val="32"/>
          <w:highlight w:val="none"/>
        </w:rPr>
        <w:t>个，三级指标</w:t>
      </w:r>
      <w:r>
        <w:rPr>
          <w:rStyle w:val="18"/>
          <w:rFonts w:hint="eastAsia" w:ascii="仿宋_GB2312" w:hAnsi="仿宋" w:eastAsia="仿宋_GB2312"/>
          <w:b w:val="0"/>
          <w:spacing w:val="-4"/>
          <w:sz w:val="32"/>
          <w:szCs w:val="32"/>
          <w:highlight w:val="none"/>
          <w:lang w:val="en-US" w:eastAsia="zh-CN"/>
        </w:rPr>
        <w:t>16</w:t>
      </w:r>
      <w:r>
        <w:rPr>
          <w:rStyle w:val="18"/>
          <w:rFonts w:hint="eastAsia" w:ascii="仿宋_GB2312" w:hAnsi="仿宋" w:eastAsia="仿宋_GB2312"/>
          <w:b w:val="0"/>
          <w:spacing w:val="-4"/>
          <w:sz w:val="32"/>
          <w:szCs w:val="32"/>
          <w:highlight w:val="none"/>
        </w:rPr>
        <w:t>个，其中已完成三级指标</w:t>
      </w:r>
      <w:r>
        <w:rPr>
          <w:rStyle w:val="18"/>
          <w:rFonts w:hint="eastAsia" w:ascii="仿宋_GB2312" w:hAnsi="仿宋" w:eastAsia="仿宋_GB2312"/>
          <w:b w:val="0"/>
          <w:spacing w:val="-4"/>
          <w:sz w:val="32"/>
          <w:szCs w:val="32"/>
          <w:highlight w:val="none"/>
          <w:lang w:val="en-US" w:eastAsia="zh-CN"/>
        </w:rPr>
        <w:t>16</w:t>
      </w:r>
      <w:r>
        <w:rPr>
          <w:rStyle w:val="18"/>
          <w:rFonts w:hint="eastAsia" w:ascii="仿宋_GB2312" w:hAnsi="仿宋" w:eastAsia="仿宋_GB2312"/>
          <w:b w:val="0"/>
          <w:spacing w:val="-4"/>
          <w:sz w:val="32"/>
          <w:szCs w:val="32"/>
          <w:highlight w:val="none"/>
        </w:rPr>
        <w:t>个，指标</w:t>
      </w:r>
      <w:r>
        <w:rPr>
          <w:rStyle w:val="18"/>
          <w:rFonts w:hint="eastAsia" w:ascii="仿宋_GB2312" w:hAnsi="仿宋" w:eastAsia="仿宋_GB2312"/>
          <w:b w:val="0"/>
          <w:spacing w:val="-4"/>
          <w:sz w:val="32"/>
          <w:szCs w:val="32"/>
        </w:rPr>
        <w:t>完成率为100%。</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(一)产出指标完成情况分析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1.项目完成数量</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施工中监督检查次数指标预期值≥10次，实际完成值10次，该指标权值分为4分，得分4分；提供建设方案指标预期值≥1套，实际完成值2套，该指标权值分为4分，得分4分；补助数量指标预期值2户，实际完成值2户，该指标权值分为4分，得分4分；建档立卡贫困户危房改造数量指标预期值2户，实际完成值2户，该指标权值分为4分，得分4分；建档立卡贫困户危房改造面积指标预期值80平方米以上，实际完成值80平方米，该指标权值分为4分，得分4分；建立监督检查机制指标预期值≥1套，实际完成值1套，该指标权值分为4分，得分4分；数量指标总权值分24分，得分24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2.项目完成质量</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改造后验收合格率指标预期值100 %，实际完成值100%，该指标权值分为4分，得分4分；建档立卡贫困户危房改造面积标准指标预期值40平方米/户，实际完成值40平方米/户，该指标权值分为4分，得分4分；改造后房屋满足基本居住功能需要比例指标预期值≥95%，实际完成值95%，该指标权值分为4分，得分4分；质量指标总权值分12分，得分12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3.项目完成时效</w:t>
      </w:r>
    </w:p>
    <w:p>
      <w:pPr>
        <w:keepLines w:val="0"/>
        <w:pageBreakBefore w:val="0"/>
        <w:kinsoku/>
        <w:wordWrap/>
        <w:overflowPunct/>
        <w:topLinePunct w:val="0"/>
        <w:autoSpaceDE/>
        <w:autoSpaceDN/>
        <w:bidi w:val="0"/>
        <w:spacing w:line="560" w:lineRule="exact"/>
        <w:ind w:firstLine="624" w:firstLineChars="200"/>
        <w:textAlignment w:val="auto"/>
        <w:rPr>
          <w:rFonts w:ascii="仿宋" w:hAnsi="仿宋" w:eastAsia="仿宋" w:cs="仿宋"/>
          <w:sz w:val="32"/>
          <w:szCs w:val="32"/>
          <w:highlight w:val="none"/>
        </w:rPr>
      </w:pPr>
      <w:r>
        <w:rPr>
          <w:rStyle w:val="18"/>
          <w:rFonts w:hint="eastAsia" w:ascii="仿宋_GB2312" w:hAnsi="仿宋" w:eastAsia="仿宋_GB2312" w:cs="Times New Roman"/>
          <w:b w:val="0"/>
          <w:spacing w:val="-4"/>
          <w:sz w:val="32"/>
          <w:szCs w:val="32"/>
          <w:lang w:val="en-US" w:eastAsia="zh-CN"/>
        </w:rPr>
        <w:t>2019年3月开工及时率指标预期值100 %，实际完成值100%，该指标权值分为4分，得分4分；2019年7月完工及时率指标预期值100 %，实际完成值100%，该指标权值分为4分，得分4分，201</w:t>
      </w:r>
      <w:r>
        <w:rPr>
          <w:rFonts w:hint="eastAsia" w:ascii="仿宋" w:hAnsi="仿宋" w:eastAsia="仿宋" w:cs="仿宋"/>
          <w:kern w:val="0"/>
          <w:sz w:val="32"/>
          <w:szCs w:val="32"/>
          <w:highlight w:val="none"/>
          <w:lang w:val="en-US" w:eastAsia="zh-CN"/>
        </w:rPr>
        <w:t>9年6月完工，2019年7月30日</w:t>
      </w:r>
      <w:r>
        <w:rPr>
          <w:rFonts w:hint="eastAsia" w:ascii="仿宋" w:hAnsi="仿宋" w:eastAsia="仿宋" w:cs="仿宋"/>
          <w:kern w:val="0"/>
          <w:sz w:val="32"/>
          <w:szCs w:val="32"/>
          <w:highlight w:val="none"/>
        </w:rPr>
        <w:t>完成检查验收</w:t>
      </w:r>
      <w:r>
        <w:rPr>
          <w:rFonts w:hint="eastAsia" w:ascii="仿宋" w:hAnsi="仿宋" w:eastAsia="仿宋" w:cs="仿宋"/>
          <w:kern w:val="0"/>
          <w:sz w:val="32"/>
          <w:szCs w:val="32"/>
          <w:highlight w:val="none"/>
          <w:lang w:eastAsia="zh-CN"/>
        </w:rPr>
        <w:t>；</w:t>
      </w:r>
      <w:r>
        <w:rPr>
          <w:rStyle w:val="18"/>
          <w:rFonts w:hint="eastAsia" w:ascii="仿宋_GB2312" w:hAnsi="仿宋" w:eastAsia="仿宋_GB2312" w:cs="Times New Roman"/>
          <w:b w:val="0"/>
          <w:spacing w:val="-4"/>
          <w:sz w:val="32"/>
          <w:szCs w:val="32"/>
          <w:lang w:val="en-US" w:eastAsia="zh-CN"/>
        </w:rPr>
        <w:t>时效指标总权值分8分，得分8分。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4.项目成本节约情况</w:t>
      </w:r>
    </w:p>
    <w:p>
      <w:pPr>
        <w:keepLines w:val="0"/>
        <w:pageBreakBefore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b w:val="0"/>
          <w:spacing w:val="-4"/>
          <w:sz w:val="32"/>
          <w:szCs w:val="32"/>
          <w:lang w:val="en-US" w:eastAsia="zh-CN"/>
        </w:rPr>
      </w:pPr>
      <w:r>
        <w:rPr>
          <w:rStyle w:val="18"/>
          <w:rFonts w:hint="eastAsia" w:ascii="仿宋_GB2312" w:hAnsi="仿宋" w:eastAsia="仿宋_GB2312"/>
          <w:b w:val="0"/>
          <w:spacing w:val="-4"/>
          <w:sz w:val="32"/>
          <w:szCs w:val="32"/>
          <w:lang w:eastAsia="zh-CN"/>
        </w:rPr>
        <w:t>危房改造补助标准</w:t>
      </w:r>
      <w:r>
        <w:rPr>
          <w:rStyle w:val="18"/>
          <w:rFonts w:hint="eastAsia" w:ascii="仿宋_GB2312" w:hAnsi="仿宋" w:eastAsia="仿宋_GB2312" w:cs="Times New Roman"/>
          <w:b w:val="0"/>
          <w:spacing w:val="-4"/>
          <w:sz w:val="32"/>
          <w:szCs w:val="32"/>
          <w:lang w:val="en-US" w:eastAsia="zh-CN"/>
        </w:rPr>
        <w:t>指标预期值4400</w:t>
      </w:r>
      <w:r>
        <w:rPr>
          <w:rStyle w:val="18"/>
          <w:rFonts w:hint="eastAsia" w:ascii="仿宋_GB2312" w:hAnsi="仿宋" w:eastAsia="仿宋_GB2312"/>
          <w:b w:val="0"/>
          <w:spacing w:val="-4"/>
          <w:sz w:val="32"/>
          <w:szCs w:val="32"/>
          <w:lang w:eastAsia="zh-CN"/>
        </w:rPr>
        <w:t>元/户，</w:t>
      </w:r>
      <w:r>
        <w:rPr>
          <w:rStyle w:val="18"/>
          <w:rFonts w:hint="eastAsia" w:ascii="仿宋_GB2312" w:hAnsi="仿宋" w:eastAsia="仿宋_GB2312" w:cs="Times New Roman"/>
          <w:b w:val="0"/>
          <w:spacing w:val="-4"/>
          <w:sz w:val="32"/>
          <w:szCs w:val="32"/>
          <w:lang w:val="en-US" w:eastAsia="zh-CN"/>
        </w:rPr>
        <w:t>实际完成值4400元/户，该指标权值分为6分，得分6分；成本指标总权值分6分，得分6分。</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（二）效益指标完成情况分析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1.经济效益指标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无。</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2.社会效益指标</w:t>
      </w:r>
    </w:p>
    <w:p>
      <w:pPr>
        <w:keepLines w:val="0"/>
        <w:pageBreakBefore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受益建档立卡贫困人口数量指标预期值8人，实际完成值8人，该指标权值分为10分，得分10分；和谐党群关系效果显著，实际完成值100%，该指标权值分为10分，得分10分；社会效益总权值分20分，得分20分。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3.可持续影响指标</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改造后房屋保证安全期限指标预期值≥50年，实际完成值50年，该指标权值分为10分，得分10分；可持续影响总权值分10分，得分10分。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4.生态效益指标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无。</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（三）满意度指标完成情况分析</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已做满意度调查问卷，受益对象满意度指标预期值100%，实际完成值100%年，该指标权值分为10分，得分10分；服务对象满意度指标总权衡分值10分，得分10分。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Style w:val="18"/>
          <w:rFonts w:hint="default" w:ascii="黑体" w:hAnsi="黑体" w:eastAsia="黑体"/>
          <w:b w:val="0"/>
          <w:bCs w:val="0"/>
          <w:sz w:val="32"/>
          <w:szCs w:val="32"/>
          <w:lang w:val="en-US" w:eastAsia="zh-CN"/>
        </w:rPr>
      </w:pPr>
      <w:r>
        <w:rPr>
          <w:rStyle w:val="18"/>
          <w:rFonts w:hint="eastAsia" w:ascii="黑体" w:hAnsi="黑体" w:eastAsia="黑体"/>
          <w:b w:val="0"/>
          <w:bCs w:val="0"/>
          <w:sz w:val="32"/>
          <w:szCs w:val="32"/>
          <w:lang w:val="en-US" w:eastAsia="zh-CN"/>
        </w:rPr>
        <w:t>五、</w:t>
      </w:r>
      <w:r>
        <w:rPr>
          <w:rStyle w:val="18"/>
          <w:rFonts w:hint="eastAsia" w:ascii="黑体" w:hAnsi="黑体" w:eastAsia="黑体"/>
          <w:b w:val="0"/>
          <w:bCs w:val="0"/>
          <w:sz w:val="32"/>
          <w:szCs w:val="32"/>
        </w:rPr>
        <w:t>项目绩效目标未完成原因分析</w:t>
      </w:r>
      <w:r>
        <w:rPr>
          <w:rStyle w:val="18"/>
          <w:rFonts w:hint="eastAsia" w:ascii="黑体" w:hAnsi="黑体" w:eastAsia="黑体"/>
          <w:b w:val="0"/>
          <w:bCs w:val="0"/>
          <w:sz w:val="32"/>
          <w:szCs w:val="32"/>
          <w:lang w:val="en-US" w:eastAsia="zh-CN"/>
        </w:rPr>
        <w:t>和改进措施</w:t>
      </w:r>
    </w:p>
    <w:p>
      <w:pPr>
        <w:pStyle w:val="2"/>
        <w:keepNext/>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outlineLvl w:val="2"/>
        <w:rPr>
          <w:rFonts w:hint="eastAsia"/>
          <w:sz w:val="32"/>
          <w:szCs w:val="32"/>
          <w:lang w:val="en-US" w:eastAsia="zh-CN"/>
        </w:rPr>
      </w:pPr>
      <w:r>
        <w:rPr>
          <w:rStyle w:val="18"/>
          <w:rFonts w:hint="eastAsia" w:ascii="仿宋_GB2312" w:hAnsi="仿宋" w:eastAsia="仿宋_GB2312" w:cs="Times New Roman"/>
          <w:b w:val="0"/>
          <w:bCs/>
          <w:spacing w:val="-4"/>
          <w:sz w:val="32"/>
          <w:szCs w:val="32"/>
          <w:lang w:val="en-US" w:eastAsia="zh-CN"/>
        </w:rPr>
        <w:t>2019年本项目绩效目标全部达成，不存在未完成，今后对各项指标和指标值的设定要进一步优化、完善。</w:t>
      </w:r>
    </w:p>
    <w:p>
      <w:pPr>
        <w:keepLines w:val="0"/>
        <w:pageBreakBefore w:val="0"/>
        <w:kinsoku/>
        <w:wordWrap/>
        <w:overflowPunct/>
        <w:topLinePunct w:val="0"/>
        <w:autoSpaceDE/>
        <w:autoSpaceDN/>
        <w:bidi w:val="0"/>
        <w:spacing w:line="560" w:lineRule="exact"/>
        <w:ind w:firstLine="640" w:firstLineChars="200"/>
        <w:textAlignment w:val="auto"/>
        <w:rPr>
          <w:rStyle w:val="18"/>
          <w:rFonts w:ascii="黑体" w:hAnsi="黑体" w:eastAsia="黑体"/>
          <w:b w:val="0"/>
          <w:bCs w:val="0"/>
          <w:sz w:val="32"/>
          <w:szCs w:val="32"/>
        </w:rPr>
      </w:pPr>
      <w:r>
        <w:rPr>
          <w:rStyle w:val="18"/>
          <w:rFonts w:hint="eastAsia" w:ascii="黑体" w:hAnsi="黑体" w:eastAsia="黑体"/>
          <w:b w:val="0"/>
          <w:bCs w:val="0"/>
          <w:sz w:val="32"/>
          <w:szCs w:val="32"/>
          <w:lang w:val="en-US" w:eastAsia="zh-CN"/>
        </w:rPr>
        <w:t>六、</w:t>
      </w:r>
      <w:r>
        <w:rPr>
          <w:rStyle w:val="18"/>
          <w:rFonts w:hint="eastAsia" w:ascii="黑体" w:hAnsi="黑体" w:eastAsia="黑体"/>
          <w:b w:val="0"/>
          <w:bCs w:val="0"/>
          <w:sz w:val="32"/>
          <w:szCs w:val="32"/>
        </w:rPr>
        <w:t>综合评价结论</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经综合评价，本项目实施达成预期指标：资金使用、管理、保障到位，严格执行扶贫资金管理办法和县财政资金管理制度，能按照实施方案执行招投标管理办法，综合评价得分为100分。</w:t>
      </w:r>
    </w:p>
    <w:p>
      <w:pPr>
        <w:keepNext w:val="0"/>
        <w:keepLines w:val="0"/>
        <w:pageBreakBefore w:val="0"/>
        <w:widowControl w:val="0"/>
        <w:numPr>
          <w:ilvl w:val="0"/>
          <w:numId w:val="0"/>
        </w:numPr>
        <w:kinsoku/>
        <w:wordWrap/>
        <w:overflowPunct/>
        <w:topLinePunct w:val="0"/>
        <w:autoSpaceDE/>
        <w:autoSpaceDN/>
        <w:bidi w:val="0"/>
        <w:spacing w:line="560" w:lineRule="exact"/>
        <w:ind w:firstLine="624" w:firstLineChars="200"/>
        <w:textAlignment w:val="auto"/>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七、项目实施的经验、问题、建议</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lang w:val="en-US" w:eastAsia="zh-CN"/>
        </w:rPr>
        <w:t>（一）</w:t>
      </w:r>
      <w:r>
        <w:rPr>
          <w:rStyle w:val="18"/>
          <w:rFonts w:hint="eastAsia" w:ascii="楷体_GB2312" w:hAnsi="楷体" w:eastAsia="楷体_GB2312"/>
          <w:spacing w:val="-4"/>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bCs/>
          <w:spacing w:val="-4"/>
          <w:kern w:val="2"/>
          <w:sz w:val="32"/>
          <w:szCs w:val="32"/>
          <w:lang w:val="en-US" w:eastAsia="zh-CN" w:bidi="ar-SA"/>
        </w:rPr>
      </w:pPr>
      <w:r>
        <w:rPr>
          <w:rStyle w:val="18"/>
          <w:rFonts w:hint="eastAsia" w:ascii="仿宋_GB2312" w:hAnsi="仿宋" w:eastAsia="仿宋_GB2312" w:cs="Times New Roman"/>
          <w:b w:val="0"/>
          <w:bCs/>
          <w:spacing w:val="-4"/>
          <w:kern w:val="2"/>
          <w:sz w:val="32"/>
          <w:szCs w:val="32"/>
          <w:lang w:val="en-US" w:eastAsia="zh-CN" w:bidi="ar-SA"/>
        </w:rPr>
        <w:t>一是组织机构健全，上下齐抓共管。县委、县人民政府高度重视贫困户住房保障，主要领导亲自主、分管领导具体抓，将住房安全有保障作为深度贫困县主要任务，建立县、乡、村三级管理体系，工作措施到位，保证工作正常运转，县、乡、帮扶工作队主要领导形成逢会必讲安居房建设，到村必看建设进度，掌握民情，了解进度，狠抓质量，按照应纳尽纳，强化各级组织对脱贫攻坚住房安全有保障的意识。二是科学规划，合理布局，强力推进集中连片。去冬今春以来，早计划早安排，做到提前选址，提前安排，原则上坚持“集中统一”，“串珠连线”，保证农村安居工程整齐划一，力争达到后续公共基础设施配套让村民共享，方便生活、生产，今年共建新小区13处。三聚焦脱贫攻坚，鼎力推动贫困户住房保障。在建材资源匮乏，建房用的沙子、石子、建筑用砖都要通过邻近县拉运，为</w:t>
      </w:r>
      <w:bookmarkStart w:id="0" w:name="_GoBack"/>
      <w:bookmarkEnd w:id="0"/>
      <w:r>
        <w:rPr>
          <w:rStyle w:val="18"/>
          <w:rFonts w:hint="eastAsia" w:ascii="仿宋_GB2312" w:hAnsi="仿宋" w:eastAsia="仿宋_GB2312" w:cs="Times New Roman"/>
          <w:b w:val="0"/>
          <w:bCs/>
          <w:spacing w:val="-4"/>
          <w:kern w:val="2"/>
          <w:sz w:val="32"/>
          <w:szCs w:val="32"/>
          <w:lang w:val="en-US" w:eastAsia="zh-CN" w:bidi="ar-SA"/>
        </w:rPr>
        <w:t>平抑建材市场价格，帮助贫困户建房降低成本，多方联系生产厂家，以最低价供应建材物资，为每户贫困户建房节约建材折合资金资金2000元左右，同时，就近就地安置孤寡老人，为25户孤寡老人修建“幸福大院”3处，截止目前，全县已经修建“幸福大院”18处。四是转变作风，强化贫困户自身动力。积极动员建房户主体地位，通过举办泥瓦工培训工程施工等，提高和锻炼了施工技能，采取农户自愿、互帮互助等形式，避免大包大揽，全县有1100多农民参加了安居工程施工，增加了贫困群众经济收入。根据人均住房面积13平方和贫困户住房40-60面积的要求，在建房户个人经济条件允许的前提下，自主选择住房面积，不下行政命令。五是按照项目资金管理使用办法,到位资金在五个工作日全部拨付到位，通过“一卡通”及时发放，确保建房进度和质量。同时，加大农村安居工程政策宣传，清查收缴违规建房、重复建房享受建房补助力度。</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（二）存在问题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Style w:val="18"/>
          <w:rFonts w:hint="eastAsia" w:ascii="仿宋_GB2312" w:hAnsi="仿宋" w:eastAsia="仿宋_GB2312" w:cs="Times New Roman"/>
          <w:b w:val="0"/>
          <w:spacing w:val="-4"/>
          <w:kern w:val="2"/>
          <w:sz w:val="32"/>
          <w:szCs w:val="32"/>
          <w:lang w:val="en-US" w:eastAsia="zh-CN" w:bidi="ar-SA"/>
        </w:rPr>
      </w:pPr>
      <w:r>
        <w:rPr>
          <w:rStyle w:val="18"/>
          <w:rFonts w:hint="eastAsia" w:ascii="仿宋_GB2312" w:hAnsi="仿宋" w:eastAsia="仿宋_GB2312" w:cs="Times New Roman"/>
          <w:b w:val="0"/>
          <w:spacing w:val="-4"/>
          <w:kern w:val="2"/>
          <w:sz w:val="32"/>
          <w:szCs w:val="32"/>
          <w:lang w:val="en-US" w:eastAsia="zh-CN" w:bidi="ar-SA"/>
        </w:rPr>
        <w:t xml:space="preserve">一是对建房政策理解不深、把握不够。比如:一些非农户口长期在农村从事农业生产,有宅基地、有耕地,户口性质为非农户口,按照现行建房补助政策,不能享受农村安居房补助政策;另一种情况,随着小城镇建设,将农业户口转入非农户口,但仍然从事农业生产,享受不了农村安居工程补助,由于缺乏政策理解能力,县、乡安居办无法合理解释,也没有及时向上级主管部门反映问题,缺乏解决间题的能力。二是服务意识淡薄,主体责任缺失。按照自治区农村安居工程建设有关管理规定,县、乡、村都要成立农村安居工程领导小组,对工程质量、工程进度进行监督检査,由于危房改造点多、面广,乡、村两级负责分管领导和干部忙于团结安定和脱贫攻坚等其他工作,没有按照上级要求每周一次到工地监督检查, 建房户自购的一些建材以次充好,为了省钱个别农户不按图纸、技术要求施工,在整改过程中一定程度上给建房户造成了损失,工程质量监督工作没有从源头上盯紧看死。                          </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8"/>
          <w:rFonts w:hint="eastAsia" w:ascii="楷体_GB2312" w:hAnsi="楷体" w:eastAsia="楷体_GB2312"/>
          <w:spacing w:val="-4"/>
          <w:sz w:val="32"/>
          <w:szCs w:val="32"/>
          <w:lang w:eastAsia="zh-CN"/>
        </w:rPr>
      </w:pPr>
      <w:r>
        <w:rPr>
          <w:rStyle w:val="18"/>
          <w:rFonts w:hint="eastAsia" w:ascii="楷体_GB2312" w:hAnsi="楷体" w:eastAsia="楷体_GB2312"/>
          <w:spacing w:val="-4"/>
          <w:sz w:val="32"/>
          <w:szCs w:val="32"/>
        </w:rPr>
        <w:t>（三）</w:t>
      </w:r>
      <w:r>
        <w:rPr>
          <w:rStyle w:val="18"/>
          <w:rFonts w:hint="eastAsia" w:ascii="楷体_GB2312" w:hAnsi="楷体" w:eastAsia="楷体_GB2312"/>
          <w:spacing w:val="-4"/>
          <w:sz w:val="32"/>
          <w:szCs w:val="32"/>
          <w:lang w:val="en-US"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spacing w:val="-4"/>
          <w:sz w:val="32"/>
          <w:szCs w:val="32"/>
          <w:lang w:eastAsia="zh-CN"/>
        </w:rPr>
      </w:pPr>
      <w:r>
        <w:rPr>
          <w:rFonts w:hint="eastAsia" w:ascii="仿宋_GB2312" w:eastAsia="仿宋_GB2312"/>
          <w:spacing w:val="-4"/>
          <w:sz w:val="32"/>
          <w:szCs w:val="32"/>
          <w:lang w:eastAsia="zh-CN"/>
        </w:rPr>
        <w:t>无</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w:t>
      </w:r>
      <w:r>
        <w:rPr>
          <w:rStyle w:val="18"/>
          <w:rFonts w:hint="eastAsia" w:ascii="黑体" w:hAnsi="黑体" w:eastAsia="黑体"/>
          <w:b w:val="0"/>
          <w:spacing w:val="-4"/>
          <w:sz w:val="32"/>
          <w:szCs w:val="32"/>
          <w:lang w:val="en-US" w:eastAsia="zh-CN"/>
        </w:rPr>
        <w:t>绩效</w:t>
      </w:r>
      <w:r>
        <w:rPr>
          <w:rStyle w:val="18"/>
          <w:rFonts w:hint="eastAsia" w:ascii="黑体" w:hAnsi="黑体" w:eastAsia="黑体"/>
          <w:b w:val="0"/>
          <w:spacing w:val="-4"/>
          <w:sz w:val="32"/>
          <w:szCs w:val="32"/>
        </w:rPr>
        <w:t>评价工作</w:t>
      </w:r>
      <w:r>
        <w:rPr>
          <w:rStyle w:val="18"/>
          <w:rFonts w:hint="eastAsia" w:ascii="黑体" w:hAnsi="黑体" w:eastAsia="黑体"/>
          <w:b w:val="0"/>
          <w:spacing w:val="-4"/>
          <w:sz w:val="32"/>
          <w:szCs w:val="32"/>
          <w:lang w:val="en-US" w:eastAsia="zh-CN"/>
        </w:rPr>
        <w:t>有关说明</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0"/>
        <w:rPr>
          <w:rFonts w:hint="eastAsia" w:ascii="仿宋_GB2312" w:eastAsia="仿宋_GB2312"/>
          <w:spacing w:val="-4"/>
          <w:sz w:val="32"/>
          <w:szCs w:val="32"/>
        </w:rPr>
      </w:pPr>
      <w:r>
        <w:rPr>
          <w:rFonts w:hint="eastAsia" w:ascii="仿宋_GB2312" w:eastAsia="仿宋_GB2312"/>
          <w:spacing w:val="-4"/>
          <w:sz w:val="32"/>
          <w:szCs w:val="32"/>
        </w:rPr>
        <w:t>本次评价通过文件研读、实地调研、数据分析等方式，全面了解了项目资金的使用效率和效果，项目管理过程规范，按照实施方案完成了预期绩效目标。通过开展预算绩效管理和绩效自评工作，建立科学合理的绩效机制，客观准确的评价我单位项目绩效，不断完善绩效评价体系，加强监督检查和考核工作。同时，通过开展自我评价来总结经验,为今后同类项目的执行与实施提供了参考依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0"/>
        <w:rPr>
          <w:rFonts w:hint="eastAsia" w:ascii="仿宋_GB2312" w:eastAsia="仿宋_GB2312"/>
          <w:spacing w:val="-4"/>
          <w:sz w:val="32"/>
          <w:szCs w:val="32"/>
        </w:rPr>
      </w:pPr>
      <w:r>
        <w:rPr>
          <w:rFonts w:hint="eastAsia" w:ascii="仿宋_GB2312" w:eastAsia="仿宋_GB2312"/>
          <w:spacing w:val="-4"/>
          <w:sz w:val="32"/>
          <w:szCs w:val="32"/>
        </w:rPr>
        <w:t>本项目绩效自评结果将根据上级要求时间予以公开，接受社会公众监督。</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九</w:t>
      </w:r>
      <w:r>
        <w:rPr>
          <w:rStyle w:val="18"/>
          <w:rFonts w:hint="eastAsia" w:ascii="黑体" w:hAnsi="黑体" w:eastAsia="黑体"/>
          <w:b w:val="0"/>
          <w:spacing w:val="-4"/>
          <w:sz w:val="32"/>
          <w:szCs w:val="32"/>
        </w:rPr>
        <w:t>、附表</w:t>
      </w:r>
    </w:p>
    <w:p>
      <w:pPr>
        <w:keepLines w:val="0"/>
        <w:pageBreakBefore w:val="0"/>
        <w:kinsoku/>
        <w:wordWrap/>
        <w:overflowPunct/>
        <w:topLinePunct w:val="0"/>
        <w:autoSpaceDE/>
        <w:autoSpaceDN/>
        <w:bidi w:val="0"/>
        <w:spacing w:line="560" w:lineRule="exact"/>
        <w:ind w:firstLine="627" w:firstLineChars="200"/>
        <w:textAlignment w:val="auto"/>
        <w:rPr>
          <w:rStyle w:val="18"/>
          <w:rFonts w:hint="default" w:ascii="仿宋" w:hAnsi="仿宋" w:eastAsia="仿宋" w:cs="仿宋"/>
          <w:b/>
          <w:bCs w:val="0"/>
          <w:spacing w:val="-4"/>
          <w:sz w:val="32"/>
          <w:szCs w:val="32"/>
          <w:lang w:val="en-US" w:eastAsia="zh-CN"/>
        </w:rPr>
      </w:pPr>
      <w:r>
        <w:rPr>
          <w:rStyle w:val="18"/>
          <w:rFonts w:hint="eastAsia" w:ascii="仿宋" w:hAnsi="仿宋" w:eastAsia="仿宋" w:cs="仿宋"/>
          <w:b/>
          <w:bCs w:val="0"/>
          <w:spacing w:val="-4"/>
          <w:sz w:val="32"/>
          <w:szCs w:val="32"/>
          <w:lang w:eastAsia="zh-CN"/>
        </w:rPr>
        <w:t>《</w:t>
      </w:r>
      <w:r>
        <w:rPr>
          <w:rStyle w:val="18"/>
          <w:rFonts w:hint="eastAsia" w:ascii="仿宋" w:hAnsi="仿宋" w:eastAsia="仿宋" w:cs="仿宋"/>
          <w:b/>
          <w:bCs w:val="0"/>
          <w:spacing w:val="-4"/>
          <w:sz w:val="32"/>
          <w:szCs w:val="32"/>
          <w:lang w:val="en-US" w:eastAsia="zh-CN"/>
        </w:rPr>
        <w:t>绩效目标自评表》</w:t>
      </w:r>
    </w:p>
    <w:sectPr>
      <w:pgSz w:w="11906" w:h="16838"/>
      <w:pgMar w:top="1440" w:right="1558" w:bottom="1440" w:left="1800"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819A2"/>
    <w:rsid w:val="00121AE4"/>
    <w:rsid w:val="00146AAD"/>
    <w:rsid w:val="001B3A40"/>
    <w:rsid w:val="001C1D3A"/>
    <w:rsid w:val="0031249D"/>
    <w:rsid w:val="004366A8"/>
    <w:rsid w:val="004A35B9"/>
    <w:rsid w:val="004E1174"/>
    <w:rsid w:val="00502BA7"/>
    <w:rsid w:val="005162F1"/>
    <w:rsid w:val="00535153"/>
    <w:rsid w:val="00554F82"/>
    <w:rsid w:val="0055767F"/>
    <w:rsid w:val="0056390D"/>
    <w:rsid w:val="005719B0"/>
    <w:rsid w:val="005D10D6"/>
    <w:rsid w:val="006B2AED"/>
    <w:rsid w:val="00855E3A"/>
    <w:rsid w:val="008D1AB1"/>
    <w:rsid w:val="00922CB9"/>
    <w:rsid w:val="00971C22"/>
    <w:rsid w:val="009E5CD9"/>
    <w:rsid w:val="00A10408"/>
    <w:rsid w:val="00A26421"/>
    <w:rsid w:val="00A4293B"/>
    <w:rsid w:val="00A67D50"/>
    <w:rsid w:val="00A8691A"/>
    <w:rsid w:val="00A94750"/>
    <w:rsid w:val="00AC1946"/>
    <w:rsid w:val="00B40063"/>
    <w:rsid w:val="00B41F61"/>
    <w:rsid w:val="00BA46E6"/>
    <w:rsid w:val="00C56C72"/>
    <w:rsid w:val="00C57EBA"/>
    <w:rsid w:val="00CA6457"/>
    <w:rsid w:val="00CF49A1"/>
    <w:rsid w:val="00D17F2E"/>
    <w:rsid w:val="00D30354"/>
    <w:rsid w:val="00DA4A92"/>
    <w:rsid w:val="00DE30B5"/>
    <w:rsid w:val="00DF42A0"/>
    <w:rsid w:val="00E305DF"/>
    <w:rsid w:val="00E769FE"/>
    <w:rsid w:val="00EA2CBE"/>
    <w:rsid w:val="00F32FEE"/>
    <w:rsid w:val="00FB10BB"/>
    <w:rsid w:val="07E65333"/>
    <w:rsid w:val="082710D3"/>
    <w:rsid w:val="09F37124"/>
    <w:rsid w:val="09FF117B"/>
    <w:rsid w:val="0EB52A70"/>
    <w:rsid w:val="11DC2D56"/>
    <w:rsid w:val="139672D1"/>
    <w:rsid w:val="141B385D"/>
    <w:rsid w:val="17C1775A"/>
    <w:rsid w:val="18EC1B5D"/>
    <w:rsid w:val="1988457A"/>
    <w:rsid w:val="21B31110"/>
    <w:rsid w:val="21BD6055"/>
    <w:rsid w:val="23464FF3"/>
    <w:rsid w:val="26EF26F2"/>
    <w:rsid w:val="2B7D0082"/>
    <w:rsid w:val="2B973E8F"/>
    <w:rsid w:val="2DB75464"/>
    <w:rsid w:val="34EF61CA"/>
    <w:rsid w:val="383A75B6"/>
    <w:rsid w:val="3CD2366A"/>
    <w:rsid w:val="407221B6"/>
    <w:rsid w:val="413C1DA0"/>
    <w:rsid w:val="42322476"/>
    <w:rsid w:val="44192FC6"/>
    <w:rsid w:val="4AF57519"/>
    <w:rsid w:val="4EF60DBB"/>
    <w:rsid w:val="56A72661"/>
    <w:rsid w:val="57C13384"/>
    <w:rsid w:val="609A137E"/>
    <w:rsid w:val="6329550F"/>
    <w:rsid w:val="6CEF5775"/>
    <w:rsid w:val="76476C6E"/>
    <w:rsid w:val="79525F86"/>
    <w:rsid w:val="7BA31713"/>
    <w:rsid w:val="7E994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50"/>
    <w:semiHidden/>
    <w:unhideWhenUsed/>
    <w:qFormat/>
    <w:uiPriority w:val="99"/>
    <w:rPr>
      <w:sz w:val="18"/>
      <w:szCs w:val="18"/>
    </w:rPr>
  </w:style>
  <w:style w:type="paragraph" w:styleId="12">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6">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FollowedHyperlink"/>
    <w:basedOn w:val="17"/>
    <w:semiHidden/>
    <w:unhideWhenUsed/>
    <w:qFormat/>
    <w:uiPriority w:val="99"/>
    <w:rPr>
      <w:color w:val="595757"/>
      <w:u w:val="none"/>
    </w:rPr>
  </w:style>
  <w:style w:type="character" w:styleId="20">
    <w:name w:val="Emphasis"/>
    <w:basedOn w:val="17"/>
    <w:qFormat/>
    <w:uiPriority w:val="20"/>
    <w:rPr>
      <w:rFonts w:asciiTheme="minorHAnsi" w:hAnsiTheme="minorHAnsi"/>
      <w:b/>
      <w:i/>
      <w:iCs/>
    </w:rPr>
  </w:style>
  <w:style w:type="character" w:styleId="21">
    <w:name w:val="Hyperlink"/>
    <w:basedOn w:val="17"/>
    <w:semiHidden/>
    <w:unhideWhenUsed/>
    <w:qFormat/>
    <w:uiPriority w:val="99"/>
    <w:rPr>
      <w:color w:val="595757"/>
      <w:u w:val="none"/>
    </w:rPr>
  </w:style>
  <w:style w:type="character" w:styleId="22">
    <w:name w:val="HTML Code"/>
    <w:basedOn w:val="17"/>
    <w:semiHidden/>
    <w:unhideWhenUsed/>
    <w:qFormat/>
    <w:uiPriority w:val="99"/>
    <w:rPr>
      <w:rFonts w:ascii="Courier New" w:hAnsi="Courier New"/>
      <w:sz w:val="20"/>
    </w:rPr>
  </w:style>
  <w:style w:type="character" w:styleId="23">
    <w:name w:val="HTML Cite"/>
    <w:basedOn w:val="17"/>
    <w:semiHidden/>
    <w:unhideWhenUsed/>
    <w:qFormat/>
    <w:uiPriority w:val="99"/>
  </w:style>
  <w:style w:type="character" w:customStyle="1" w:styleId="25">
    <w:name w:val="标题 1 字符"/>
    <w:basedOn w:val="17"/>
    <w:link w:val="3"/>
    <w:qFormat/>
    <w:uiPriority w:val="9"/>
    <w:rPr>
      <w:rFonts w:asciiTheme="majorHAnsi" w:hAnsiTheme="majorHAnsi" w:eastAsiaTheme="majorEastAsia"/>
      <w:b/>
      <w:bCs/>
      <w:kern w:val="32"/>
      <w:sz w:val="32"/>
      <w:szCs w:val="32"/>
    </w:rPr>
  </w:style>
  <w:style w:type="character" w:customStyle="1" w:styleId="26">
    <w:name w:val="标题 2 字符"/>
    <w:basedOn w:val="17"/>
    <w:link w:val="4"/>
    <w:semiHidden/>
    <w:qFormat/>
    <w:uiPriority w:val="9"/>
    <w:rPr>
      <w:rFonts w:asciiTheme="majorHAnsi" w:hAnsiTheme="majorHAnsi" w:eastAsiaTheme="majorEastAsia"/>
      <w:b/>
      <w:bCs/>
      <w:i/>
      <w:iCs/>
      <w:sz w:val="28"/>
      <w:szCs w:val="28"/>
    </w:rPr>
  </w:style>
  <w:style w:type="character" w:customStyle="1" w:styleId="27">
    <w:name w:val="标题 3 字符"/>
    <w:basedOn w:val="17"/>
    <w:link w:val="2"/>
    <w:semiHidden/>
    <w:qFormat/>
    <w:uiPriority w:val="9"/>
    <w:rPr>
      <w:rFonts w:asciiTheme="majorHAnsi" w:hAnsiTheme="majorHAnsi" w:eastAsiaTheme="majorEastAsia"/>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Theme="majorHAnsi" w:hAnsiTheme="majorHAnsi" w:eastAsiaTheme="majorEastAsia"/>
    </w:rPr>
  </w:style>
  <w:style w:type="character" w:customStyle="1" w:styleId="34">
    <w:name w:val="标题 字符"/>
    <w:basedOn w:val="17"/>
    <w:link w:val="16"/>
    <w:qFormat/>
    <w:uiPriority w:val="10"/>
    <w:rPr>
      <w:rFonts w:asciiTheme="majorHAnsi" w:hAnsiTheme="majorHAnsi" w:eastAsiaTheme="majorEastAsia"/>
      <w:b/>
      <w:bCs/>
      <w:kern w:val="28"/>
      <w:sz w:val="32"/>
      <w:szCs w:val="32"/>
    </w:rPr>
  </w:style>
  <w:style w:type="character" w:customStyle="1" w:styleId="35">
    <w:name w:val="副标题 字符"/>
    <w:basedOn w:val="17"/>
    <w:link w:val="14"/>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17"/>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17"/>
    <w:link w:val="40"/>
    <w:qFormat/>
    <w:uiPriority w:val="30"/>
    <w:rPr>
      <w:b/>
      <w:i/>
      <w:sz w:val="24"/>
    </w:rPr>
  </w:style>
  <w:style w:type="character" w:customStyle="1" w:styleId="42">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Intense Emphasis"/>
    <w:basedOn w:val="17"/>
    <w:qFormat/>
    <w:uiPriority w:val="21"/>
    <w:rPr>
      <w:b/>
      <w:i/>
      <w:sz w:val="24"/>
      <w:szCs w:val="24"/>
      <w:u w:val="single"/>
    </w:rPr>
  </w:style>
  <w:style w:type="character" w:customStyle="1" w:styleId="44">
    <w:name w:val="Subtle Reference"/>
    <w:basedOn w:val="17"/>
    <w:qFormat/>
    <w:uiPriority w:val="31"/>
    <w:rPr>
      <w:sz w:val="24"/>
      <w:szCs w:val="24"/>
      <w:u w:val="single"/>
    </w:rPr>
  </w:style>
  <w:style w:type="character" w:customStyle="1" w:styleId="45">
    <w:name w:val="Intense Reference"/>
    <w:basedOn w:val="17"/>
    <w:qFormat/>
    <w:uiPriority w:val="32"/>
    <w:rPr>
      <w:b/>
      <w:sz w:val="24"/>
      <w:u w:val="single"/>
    </w:rPr>
  </w:style>
  <w:style w:type="character" w:customStyle="1" w:styleId="46">
    <w:name w:val="Book Title"/>
    <w:basedOn w:val="17"/>
    <w:qFormat/>
    <w:uiPriority w:val="33"/>
    <w:rPr>
      <w:rFonts w:asciiTheme="majorHAnsi" w:hAnsiTheme="majorHAnsi" w:eastAsiaTheme="majorEastAsia"/>
      <w:b/>
      <w:i/>
      <w:sz w:val="24"/>
      <w:szCs w:val="24"/>
    </w:rPr>
  </w:style>
  <w:style w:type="paragraph" w:customStyle="1" w:styleId="47">
    <w:name w:val="TOC Heading"/>
    <w:basedOn w:val="3"/>
    <w:next w:val="1"/>
    <w:semiHidden/>
    <w:unhideWhenUsed/>
    <w:qFormat/>
    <w:uiPriority w:val="39"/>
    <w:pPr>
      <w:outlineLvl w:val="9"/>
    </w:pPr>
    <w:rPr>
      <w:lang w:eastAsia="en-US" w:bidi="en-US"/>
    </w:rPr>
  </w:style>
  <w:style w:type="character" w:customStyle="1" w:styleId="48">
    <w:name w:val="页眉 字符"/>
    <w:basedOn w:val="17"/>
    <w:link w:val="13"/>
    <w:qFormat/>
    <w:uiPriority w:val="99"/>
    <w:rPr>
      <w:rFonts w:ascii="Calibri" w:hAnsi="Calibri" w:eastAsia="宋体"/>
      <w:kern w:val="2"/>
      <w:sz w:val="18"/>
      <w:szCs w:val="18"/>
    </w:rPr>
  </w:style>
  <w:style w:type="character" w:customStyle="1" w:styleId="49">
    <w:name w:val="页脚 字符"/>
    <w:basedOn w:val="17"/>
    <w:link w:val="12"/>
    <w:qFormat/>
    <w:uiPriority w:val="99"/>
    <w:rPr>
      <w:rFonts w:ascii="Calibri" w:hAnsi="Calibri" w:eastAsia="宋体"/>
      <w:kern w:val="2"/>
      <w:sz w:val="18"/>
      <w:szCs w:val="18"/>
    </w:rPr>
  </w:style>
  <w:style w:type="character" w:customStyle="1" w:styleId="50">
    <w:name w:val="批注框文本 字符"/>
    <w:basedOn w:val="17"/>
    <w:link w:val="11"/>
    <w:semiHidden/>
    <w:qFormat/>
    <w:uiPriority w:val="99"/>
    <w:rPr>
      <w:rFonts w:ascii="Times New Roman" w:hAnsi="Times New Roman" w:eastAsia="宋体"/>
      <w:kern w:val="2"/>
      <w:sz w:val="18"/>
      <w:szCs w:val="18"/>
    </w:rPr>
  </w:style>
  <w:style w:type="character" w:customStyle="1" w:styleId="51">
    <w:name w:val="font11"/>
    <w:basedOn w:val="17"/>
    <w:qFormat/>
    <w:uiPriority w:val="0"/>
    <w:rPr>
      <w:rFonts w:hint="eastAsia" w:ascii="宋体" w:hAnsi="宋体" w:eastAsia="宋体" w:cs="宋体"/>
      <w:color w:val="000000"/>
      <w:sz w:val="32"/>
      <w:szCs w:val="32"/>
      <w:u w:val="none"/>
    </w:rPr>
  </w:style>
  <w:style w:type="character" w:customStyle="1" w:styleId="52">
    <w:name w:val="font6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219</Words>
  <Characters>1251</Characters>
  <Lines>10</Lines>
  <Paragraphs>2</Paragraphs>
  <TotalTime>5</TotalTime>
  <ScaleCrop>false</ScaleCrop>
  <LinksUpToDate>false</LinksUpToDate>
  <CharactersWithSpaces>1468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2019-10-31T09:00:00Z</dcterms:created>
  <dc:creator>赵 恺（预算处）</dc:creator>
  <cp:lastModifiedBy>Administrator</cp:lastModifiedBy>
  <cp:lastPrinted>2019-01-03T11:26:00Z</cp:lastPrinted>
  <dcterms:modified xsi:type="dcterms:W3CDTF">2020-08-23T11:02:28Z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