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新疆喀什地区麦盖提县住房和城乡建设局2019年度部门决算公开说明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贯彻执行国家关于建设事业（包括建设规划、村镇规划、工程建设、城市建设、村镇建设、城管监察、建筑业、住宅和房地产业、市政公用事业等）的方针、政策和法律、法规；研究制定全县建设事业的政策，法规以及发展战略和中长期规划，并指导和监督实施；对全县建设事业进行行业管理。</w:t>
      </w:r>
    </w:p>
    <w:p>
      <w:pPr>
        <w:ind w:firstLine="480"/>
        <w:jc w:val="both"/>
      </w:pPr>
      <w:r>
        <w:rPr>
          <w:rFonts w:ascii="仿宋_GB2312" w:hAnsi="仿宋_GB2312" w:eastAsia="仿宋_GB2312" w:cs="仿宋_GB2312"/>
          <w:b w:val="0"/>
          <w:sz w:val="32"/>
        </w:rPr>
        <w:t>2、负责全县勘察和市政工程测量工程；承担对历史文化城市相关的审查，报批和保护监督工作，管理城市建设档案。</w:t>
      </w:r>
    </w:p>
    <w:p>
      <w:pPr>
        <w:ind w:firstLine="480"/>
        <w:jc w:val="both"/>
      </w:pPr>
      <w:r>
        <w:rPr>
          <w:rFonts w:ascii="仿宋_GB2312" w:hAnsi="仿宋_GB2312" w:eastAsia="仿宋_GB2312" w:cs="仿宋_GB2312"/>
          <w:b w:val="0"/>
          <w:sz w:val="32"/>
        </w:rPr>
        <w:t>3、负责编制城市建设计划和基础设施维护计划。</w:t>
      </w:r>
    </w:p>
    <w:p>
      <w:pPr>
        <w:ind w:firstLine="480"/>
        <w:jc w:val="both"/>
      </w:pPr>
      <w:r>
        <w:rPr>
          <w:rFonts w:ascii="仿宋_GB2312" w:hAnsi="仿宋_GB2312" w:eastAsia="仿宋_GB2312" w:cs="仿宋_GB2312"/>
          <w:b w:val="0"/>
          <w:sz w:val="32"/>
        </w:rPr>
        <w:t>4、负责“城建项目库”的建设项目选项、储备、论政及项目报批工作。组织实施重点项目工程的实施和配套建设、组织工程验收和工程预决算工作；组织论证和审查建设方案和城市干道沿街立面建筑方案。</w:t>
      </w:r>
    </w:p>
    <w:p>
      <w:pPr>
        <w:ind w:firstLine="480"/>
        <w:jc w:val="both"/>
      </w:pPr>
      <w:r>
        <w:rPr>
          <w:rFonts w:ascii="仿宋_GB2312" w:hAnsi="仿宋_GB2312" w:eastAsia="仿宋_GB2312" w:cs="仿宋_GB2312"/>
          <w:b w:val="0"/>
          <w:sz w:val="32"/>
        </w:rPr>
        <w:t>5、计划组织项目工程建设和市政基础设施建设维护保养、研究城建投资体制改革和经营城市理论策略，向政府报告有关城建收费政策和资金渠道，编制建设项目计划报批工作。</w:t>
      </w:r>
    </w:p>
    <w:p>
      <w:pPr>
        <w:ind w:firstLine="480"/>
        <w:jc w:val="both"/>
      </w:pPr>
      <w:r>
        <w:rPr>
          <w:rFonts w:ascii="仿宋_GB2312" w:hAnsi="仿宋_GB2312" w:eastAsia="仿宋_GB2312" w:cs="仿宋_GB2312"/>
          <w:b w:val="0"/>
          <w:sz w:val="32"/>
        </w:rPr>
        <w:t>6、组织实施工程建设实施阶段的技术规划和国家标准、全国统一定额和城市建设的相关标准，监督指导项目计划报批工作。</w:t>
      </w:r>
    </w:p>
    <w:p>
      <w:pPr>
        <w:ind w:firstLine="480"/>
        <w:jc w:val="both"/>
      </w:pPr>
      <w:r>
        <w:rPr>
          <w:rFonts w:ascii="仿宋_GB2312" w:hAnsi="仿宋_GB2312" w:eastAsia="仿宋_GB2312" w:cs="仿宋_GB2312"/>
          <w:b w:val="0"/>
          <w:sz w:val="32"/>
        </w:rPr>
        <w:t>7、负责管理全县建筑活动，培育和规范建筑业市场，指导监督建筑市场准入；管理工程招投标、工程监理、工程质量和施工安全、负责勘察、设计、施工、监理、竣工验收及建筑业劳保统筹工作。</w:t>
      </w:r>
    </w:p>
    <w:p>
      <w:pPr>
        <w:ind w:firstLine="480"/>
        <w:jc w:val="both"/>
      </w:pPr>
      <w:r>
        <w:rPr>
          <w:rFonts w:ascii="仿宋_GB2312" w:hAnsi="仿宋_GB2312" w:eastAsia="仿宋_GB2312" w:cs="仿宋_GB2312"/>
          <w:b w:val="0"/>
          <w:sz w:val="32"/>
        </w:rPr>
        <w:t>8、负责城市供水、排水、燃气、热力、质监、市政设施、园林绿化、市容环境卫生、城建监察等行业管理；负责对全县风景区的保护监督管理工作；组织制定城市公用事业发展计划、产业政策、改革措施和中长期规划，会同审定公用事业价格、监督检查公用事业服务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新疆喀什地区麦盖提县住房和城乡建设局2019年度，实有人数86人，其中：在职人员70人，离休人员0人，退休人员16人。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从部门决算单位构成看，新疆喀什地区麦盖提县住房和城乡建设局部门决算包括：新疆喀什地区麦盖提县住房和城乡建设局决算。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60,231.39万元，与上年相比，增加41,735.08万元，增长225.64%，主要原因是：上级专项资金、财政拨付存量资金以及援疆资金较去年增加。本年支出43,974.03万元，与上年相比，增加27,302.30万元，增长163.76%，主要原因是：上级专项资金、财政拨付存量资金以及援疆资金较去年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2019年度本年收入60,231.39万元，其中：财政拨款收入47,073.55万元，占78.15%；上级补助收入0万元，占0%；事业收入0万元，占0%；经营收入0万元，占0%；附属单位上缴收入0万元，占0%；其他收入13,157.84万元，占21.85%。</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2019年度本年支出43,974.03万元，其中：基本支出910.06万元，占2.07%；项目支出43,063.97万元，占97.93%；上缴上级支出0万元，占0%；经营支出0万元，占0%；对附属单位补助支出0万元，占0%。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47,073.55万元，与上年相比，增加29,904.86万元，增长174.18%，主要原因是：上级下达的专项资金较去年增加。财政拨款支出30,950.49万元，与上年相比，增加15,606.38万元，增长101.71%，主要原因是：上级下达的专项资金较去年增加。</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2,627.25万元，决算数47,073.55万元，预决算差异率1691.74%，主要原因是：年初预算无法预计年中到达的部分专项资金，待资金实际到达后，通过预算追加的方式下达单位，因此决算数大于预算数。财政拨款支出年初预算数2,627.25万元，决算数30,950.49万元，预决算差异率1078.06%，主要原因是：年初预算无法预计年中到达的部分专项资金，待资金实际到达后，通过预算追加的方式下达单位，因此决算数大于预算数。</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2019年度一般公共预算财政拨款支出27,635.44万元。按功能分类科目项级科目公开，其中：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2080505机关事业单位基本养老保险缴费支出86.37万元；</w:t>
      </w:r>
    </w:p>
    <w:p>
      <w:pPr>
        <w:ind w:firstLine="480"/>
        <w:jc w:val="both"/>
      </w:pPr>
      <w:r>
        <w:rPr>
          <w:rFonts w:ascii="仿宋_GB2312" w:hAnsi="仿宋_GB2312" w:eastAsia="仿宋_GB2312" w:cs="仿宋_GB2312"/>
          <w:b w:val="0"/>
          <w:sz w:val="32"/>
        </w:rPr>
        <w:t xml:space="preserve">   2080506机关事业单位职业年金缴费支出0.11万元；</w:t>
      </w:r>
    </w:p>
    <w:p>
      <w:pPr>
        <w:ind w:firstLine="480"/>
        <w:jc w:val="both"/>
      </w:pPr>
      <w:r>
        <w:rPr>
          <w:rFonts w:ascii="仿宋_GB2312" w:hAnsi="仿宋_GB2312" w:eastAsia="仿宋_GB2312" w:cs="仿宋_GB2312"/>
          <w:b w:val="0"/>
          <w:sz w:val="32"/>
        </w:rPr>
        <w:t xml:space="preserve">   2110302水体支出0万元；</w:t>
      </w:r>
    </w:p>
    <w:p>
      <w:pPr>
        <w:ind w:firstLine="480"/>
        <w:jc w:val="both"/>
      </w:pPr>
      <w:r>
        <w:rPr>
          <w:rFonts w:ascii="仿宋_GB2312" w:hAnsi="仿宋_GB2312" w:eastAsia="仿宋_GB2312" w:cs="仿宋_GB2312"/>
          <w:b w:val="0"/>
          <w:sz w:val="32"/>
        </w:rPr>
        <w:t xml:space="preserve">   2111407能源行业管理支出3,004.85万元；</w:t>
      </w:r>
    </w:p>
    <w:p>
      <w:pPr>
        <w:ind w:firstLine="480"/>
        <w:jc w:val="both"/>
      </w:pPr>
      <w:r>
        <w:rPr>
          <w:rFonts w:ascii="仿宋_GB2312" w:hAnsi="仿宋_GB2312" w:eastAsia="仿宋_GB2312" w:cs="仿宋_GB2312"/>
          <w:b w:val="0"/>
          <w:sz w:val="32"/>
        </w:rPr>
        <w:t xml:space="preserve">   2120101行政运行支出758.44万元；</w:t>
      </w:r>
    </w:p>
    <w:p>
      <w:pPr>
        <w:ind w:firstLine="480"/>
        <w:jc w:val="both"/>
      </w:pPr>
      <w:r>
        <w:rPr>
          <w:rFonts w:ascii="仿宋_GB2312" w:hAnsi="仿宋_GB2312" w:eastAsia="仿宋_GB2312" w:cs="仿宋_GB2312"/>
          <w:b w:val="0"/>
          <w:sz w:val="32"/>
        </w:rPr>
        <w:t xml:space="preserve">   2120303小城镇基础设施建设支出74.01万元；</w:t>
      </w:r>
    </w:p>
    <w:p>
      <w:pPr>
        <w:ind w:firstLine="480"/>
        <w:jc w:val="both"/>
      </w:pPr>
      <w:r>
        <w:rPr>
          <w:rFonts w:ascii="仿宋_GB2312" w:hAnsi="仿宋_GB2312" w:eastAsia="仿宋_GB2312" w:cs="仿宋_GB2312"/>
          <w:b w:val="0"/>
          <w:sz w:val="32"/>
        </w:rPr>
        <w:t xml:space="preserve">   2120399其他城乡社区公共设施支出330.40万元；</w:t>
      </w:r>
    </w:p>
    <w:p>
      <w:pPr>
        <w:ind w:firstLine="480"/>
        <w:jc w:val="both"/>
      </w:pPr>
      <w:r>
        <w:rPr>
          <w:rFonts w:ascii="仿宋_GB2312" w:hAnsi="仿宋_GB2312" w:eastAsia="仿宋_GB2312" w:cs="仿宋_GB2312"/>
          <w:b w:val="0"/>
          <w:sz w:val="32"/>
        </w:rPr>
        <w:t xml:space="preserve">   2120501城乡社区环境卫生支出2,849.86万元；</w:t>
      </w:r>
    </w:p>
    <w:p>
      <w:pPr>
        <w:ind w:firstLine="480"/>
        <w:jc w:val="both"/>
      </w:pPr>
      <w:r>
        <w:rPr>
          <w:rFonts w:ascii="仿宋_GB2312" w:hAnsi="仿宋_GB2312" w:eastAsia="仿宋_GB2312" w:cs="仿宋_GB2312"/>
          <w:b w:val="0"/>
          <w:sz w:val="32"/>
        </w:rPr>
        <w:t xml:space="preserve">   2129901其他城乡社区支出67.81万元；</w:t>
      </w:r>
    </w:p>
    <w:p>
      <w:pPr>
        <w:ind w:firstLine="480"/>
        <w:jc w:val="both"/>
      </w:pPr>
      <w:r>
        <w:rPr>
          <w:rFonts w:ascii="仿宋_GB2312" w:hAnsi="仿宋_GB2312" w:eastAsia="仿宋_GB2312" w:cs="仿宋_GB2312"/>
          <w:b w:val="0"/>
          <w:sz w:val="32"/>
        </w:rPr>
        <w:t xml:space="preserve">   2130199其他农业支出197.55万元；</w:t>
      </w:r>
    </w:p>
    <w:p>
      <w:pPr>
        <w:ind w:firstLine="480"/>
        <w:jc w:val="both"/>
      </w:pPr>
      <w:r>
        <w:rPr>
          <w:rFonts w:ascii="仿宋_GB2312" w:hAnsi="仿宋_GB2312" w:eastAsia="仿宋_GB2312" w:cs="仿宋_GB2312"/>
          <w:b w:val="0"/>
          <w:sz w:val="32"/>
        </w:rPr>
        <w:t xml:space="preserve">   2130801支持农村金融机构支出12.51万元；</w:t>
      </w:r>
    </w:p>
    <w:p>
      <w:pPr>
        <w:ind w:firstLine="480"/>
        <w:jc w:val="both"/>
      </w:pPr>
      <w:r>
        <w:rPr>
          <w:rFonts w:ascii="仿宋_GB2312" w:hAnsi="仿宋_GB2312" w:eastAsia="仿宋_GB2312" w:cs="仿宋_GB2312"/>
          <w:b w:val="0"/>
          <w:sz w:val="32"/>
        </w:rPr>
        <w:t xml:space="preserve">   2210103棚户区改造支出2,238.43万元；</w:t>
      </w:r>
    </w:p>
    <w:p>
      <w:pPr>
        <w:ind w:firstLine="480"/>
        <w:jc w:val="both"/>
      </w:pPr>
      <w:r>
        <w:rPr>
          <w:rFonts w:ascii="仿宋_GB2312" w:hAnsi="仿宋_GB2312" w:eastAsia="仿宋_GB2312" w:cs="仿宋_GB2312"/>
          <w:b w:val="0"/>
          <w:sz w:val="32"/>
        </w:rPr>
        <w:t xml:space="preserve">   2210105农村危房改造支出206.76万元；</w:t>
      </w:r>
    </w:p>
    <w:p>
      <w:pPr>
        <w:ind w:firstLine="480"/>
        <w:jc w:val="both"/>
      </w:pPr>
      <w:r>
        <w:rPr>
          <w:rFonts w:ascii="仿宋_GB2312" w:hAnsi="仿宋_GB2312" w:eastAsia="仿宋_GB2312" w:cs="仿宋_GB2312"/>
          <w:b w:val="0"/>
          <w:sz w:val="32"/>
        </w:rPr>
        <w:t xml:space="preserve">   2210106公共租赁住房支出7,062.20万元；</w:t>
      </w:r>
    </w:p>
    <w:p>
      <w:pPr>
        <w:ind w:firstLine="480"/>
        <w:jc w:val="both"/>
      </w:pPr>
      <w:r>
        <w:rPr>
          <w:rFonts w:ascii="仿宋_GB2312" w:hAnsi="仿宋_GB2312" w:eastAsia="仿宋_GB2312" w:cs="仿宋_GB2312"/>
          <w:b w:val="0"/>
          <w:sz w:val="32"/>
        </w:rPr>
        <w:t xml:space="preserve">   2210199其他保障性安居工程支出8,082.13万元；</w:t>
      </w:r>
    </w:p>
    <w:p>
      <w:pPr>
        <w:ind w:firstLine="480"/>
        <w:jc w:val="both"/>
      </w:pPr>
      <w:r>
        <w:rPr>
          <w:rFonts w:ascii="仿宋_GB2312" w:hAnsi="仿宋_GB2312" w:eastAsia="仿宋_GB2312" w:cs="仿宋_GB2312"/>
          <w:b w:val="0"/>
          <w:sz w:val="32"/>
        </w:rPr>
        <w:t xml:space="preserve">   2210201住房公积金支出65.15万元；</w:t>
      </w:r>
    </w:p>
    <w:p>
      <w:pPr>
        <w:ind w:firstLine="480"/>
        <w:jc w:val="both"/>
      </w:pPr>
      <w:r>
        <w:rPr>
          <w:rFonts w:ascii="仿宋_GB2312" w:hAnsi="仿宋_GB2312" w:eastAsia="仿宋_GB2312" w:cs="仿宋_GB2312"/>
          <w:b w:val="0"/>
          <w:sz w:val="32"/>
        </w:rPr>
        <w:t xml:space="preserve">   2299901其他支出2,598.86万元。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2019年度一般公共预算财政拨款基本支出910.06万元，其中：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810.62万元，包括：基本工资、津贴补贴、奖金、机关事业单位基本养老保险缴费、职业年金缴费、职工基本医疗保险缴费、公务员医疗补助缴费、其他社会保障缴费、住房公积金、退休费、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公用经费99.44万元，包括：办公费、电费、邮电费、取暖费、维修（护）费、公务用车运行维护费、其他商品和服务支出。</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14.04万元，比上年增加5.12万元，增长57.4%，主要原因是项目资金较去年增加，为开展专项业务工作需要使用车辆较为频繁，因此车辆运行维护费较去年增加。其中，因公出国（境）费支出0万元，占0%，比上年增加0万元，增长0%，主要原因是与上年相比无变动，与上年一致；公务用车购置及运行维护费支出14.04万元，占100%，比上年增加5.12万元，增长57.4%，主要原因是项目资金较去年增加，为开展专项业务工作需要使用车辆较为频繁，因此车辆运行维护费较去年增加；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公务用车购置及运行维护费14.04万元，其中，公务用车购置费0万元，公务用车运行维护费14.04万元。公务用车运行维护费开支内容包括维修费、保险费、燃油费。公务用车购置数0辆，公务用车保有量18辆。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14.04万元，决算数14.04万元，预决算差异率0%，主要原因是：预算执行完毕，预决算无差异。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14.04万元，决算数14.04万元，预决算差异率0%，主要原因是：预算执行完毕，预决算无差异；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2019年度政府性基金预算财政拨款收入3,315.05万元，与上年相比，增加2,601.68万元，增长364.7%，主要原因是：专项债券资金较去年增加，去年无专项债券项目。政府性基金预算支出3,315.05万元，与上年相比，增加2,601.68万元，增长364.7%，主要原因是：专项债券资金较去年增加，去年无专项债券项目。</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2019年度新疆喀什地区麦盖提县住房和城乡建设局机关运行经费支出99.44万元，比上年减少803.94万元，降低88.99%，主要原因是维修（护）费较去年大幅减少。</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2019年度政府采购支出总额245.80万元，其中：政府采购货物支出245.80万元、政府采购工程支出0万元、政府采购服务支出0万元。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授予中小企业合同金额245.80万元，占政府采购支出总额的100%，其中：授予小微企业合同金额245.80万元，占政府采购支出总额的100%。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1,612.20（平方米），价值98万元。车辆18辆，价值497.18万元，其中：副部（省）级及以上领导用车0辆、主要领导干部用车0辆、机要通信用车0辆、应急保障用车0辆、执法执勤用车0辆、特种专业技术用车0辆、离退休干部用车0辆、其他用车18辆，其他用车主要是：5辆清洁卫生车、3辆垃圾车、3辆洒水车、2</w:t>
      </w:r>
      <w:r>
        <w:rPr>
          <w:rFonts w:hint="eastAsia" w:ascii="仿宋_GB2312" w:hAnsi="仿宋_GB2312" w:eastAsia="仿宋_GB2312" w:cs="仿宋_GB2312"/>
          <w:sz w:val="32"/>
          <w:lang w:val="en-US" w:eastAsia="zh-CN"/>
        </w:rPr>
        <w:t>辆</w:t>
      </w:r>
      <w:r>
        <w:rPr>
          <w:rFonts w:ascii="仿宋_GB2312" w:hAnsi="仿宋_GB2312" w:eastAsia="仿宋_GB2312" w:cs="仿宋_GB2312"/>
          <w:sz w:val="32"/>
        </w:rPr>
        <w:t>高空作业车、2</w:t>
      </w:r>
      <w:r>
        <w:rPr>
          <w:rFonts w:hint="eastAsia" w:ascii="仿宋_GB2312" w:hAnsi="仿宋_GB2312" w:eastAsia="仿宋_GB2312" w:cs="仿宋_GB2312"/>
          <w:sz w:val="32"/>
          <w:lang w:val="en-US" w:eastAsia="zh-CN"/>
        </w:rPr>
        <w:t>辆</w:t>
      </w:r>
      <w:r>
        <w:rPr>
          <w:rFonts w:ascii="仿宋_GB2312" w:hAnsi="仿宋_GB2312" w:eastAsia="仿宋_GB2312" w:cs="仿宋_GB2312"/>
          <w:sz w:val="32"/>
        </w:rPr>
        <w:t>清扫车、3辆</w:t>
      </w:r>
      <w:r>
        <w:rPr>
          <w:rFonts w:hint="eastAsia" w:ascii="仿宋_GB2312" w:hAnsi="仿宋_GB2312" w:eastAsia="仿宋_GB2312" w:cs="仿宋_GB2312"/>
          <w:sz w:val="32"/>
          <w:lang w:val="en-US" w:eastAsia="zh-CN"/>
        </w:rPr>
        <w:t>一般</w:t>
      </w:r>
      <w:r>
        <w:rPr>
          <w:rFonts w:ascii="仿宋_GB2312" w:hAnsi="仿宋_GB2312" w:eastAsia="仿宋_GB2312" w:cs="仿宋_GB2312"/>
          <w:sz w:val="32"/>
        </w:rPr>
        <w:t>公务用车；单位价值50万元以上通用设备1台（套）、单位价值100万元以上专用设备0台（套）。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bookmarkStart w:id="54" w:name="_GoBack"/>
      <w:bookmarkEnd w:id="54"/>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5个，共涉及资金24149.26万元。预算绩效管理取得的成效：1、农村安居工程项目：有效地改善了农村贫困农户居住条件，实现贫困户群众安居梦想。从此以后，农民群众再也不用为突发性的自然灾害而担惊受怕，人民群众的生命财产安全得到了保障，为社会主义新农村建设打下基础；2、2019年农村危房改造项目（非建档立卡贫困户）：有效地改善了农村贫困农户居住条件，实现贫困户群众安居梦想。从此以后，农民群众再也不用为突发性的自然灾害而担惊受怕，人民群众的生命财产安全得到了保障，为社会主义新农村建设打下基础；3、贫困户住房条件改善（饮食设施）项目：推进人居环境整治工作,持续改善建档立卡贫困户人居环境，生产生活条件，让贫困户用上方便，卫生，环保的厨房，促其养成良好的饮食习惯；4、贫困户住房条件改善（卫生设施）项目：持续改善农村人居环境，改善建档立卡贫困户生产生活条件，让贫困户用上方便，卫生，环保的厕所，促其养成良好的卫生习惯。5、煤改电入户工程项目：推进“煤改电”入户工程，进一步调整优化城乡供热能源结构，减少燃料污染，推动农村居民生活品质大幅度提升，保障农户最基本的供暖需求。发现的问题及原因：一是对建房政策理解不深、把握不够。比如:一些非农户口长期在农村从事农业生产,有宅基地、有耕地,户口性质为非农户口,按照现行建房补助政策,不能享受农村安居房补助政策;另一种情况,随着小城镇建设,将农业户口转入非农户口,但仍然从事农业生产,享受不了农村安居工程补助,由于缺乏政策理解能力,县、乡安居办无法合理解释,也没有及时向上级主管部门反映问题,缺乏解决间题的能力。二是服务意识淡薄,主体责任缺失。按照自治区农村安居工程建设有关管理规定,县、乡、村都要成立农村安居工程领导小组,对工程质量、工程进度进行监督检査,由于危房改造点多、面广,乡、村两级负责分管领导和干部忙于团结安定和脱贫攻坚等其他工作,没有按照上级要求每周一次到工地监督检查,建房户自购的一些建材以次充好,为了省钱个别农户不按图纸、技术要求施工,在整改过程中一定程度上给建房户造成了损失,工程质量监督工作没有从源头上盯紧看死。下一步改进措施：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2、项目资料有待进一步完善：项目启动时同步做好档案的归纳与整理，及时整理、收集、汇总，健全档案资料。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5AA138D"/>
    <w:rsid w:val="1DAF458D"/>
    <w:rsid w:val="1EF54524"/>
    <w:rsid w:val="2A053397"/>
    <w:rsid w:val="2D1136DF"/>
    <w:rsid w:val="31C63837"/>
    <w:rsid w:val="3D5275AC"/>
    <w:rsid w:val="3D872890"/>
    <w:rsid w:val="46901EEE"/>
    <w:rsid w:val="469C74D2"/>
    <w:rsid w:val="50DB5F45"/>
    <w:rsid w:val="69AD798C"/>
    <w:rsid w:val="6B68175F"/>
    <w:rsid w:val="73FB6630"/>
    <w:rsid w:val="77ED6F44"/>
    <w:rsid w:val="7F4B2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19</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2020-11-20T08:57:48Z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