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新疆喀什地区麦盖提县生态环境局2019年度部门决算公开说明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480"/>
        <w:jc w:val="both"/>
      </w:pPr>
      <w:r>
        <w:rPr>
          <w:rFonts w:ascii="仿宋_GB2312" w:hAnsi="仿宋_GB2312" w:eastAsia="仿宋_GB2312" w:cs="仿宋_GB2312"/>
          <w:b w:val="0"/>
          <w:sz w:val="32"/>
        </w:rPr>
        <w:t>1、负责重大生态环境问题的统筹协调和监督管理。</w:t>
      </w:r>
    </w:p>
    <w:p>
      <w:pPr>
        <w:ind w:firstLine="480"/>
        <w:jc w:val="both"/>
      </w:pPr>
      <w:r>
        <w:rPr>
          <w:rFonts w:ascii="仿宋_GB2312" w:hAnsi="仿宋_GB2312" w:eastAsia="仿宋_GB2312" w:cs="仿宋_GB2312"/>
          <w:b w:val="0"/>
          <w:sz w:val="32"/>
        </w:rPr>
        <w:t>2、负责监督管理自治区减排目标的落实。</w:t>
      </w:r>
    </w:p>
    <w:p>
      <w:pPr>
        <w:ind w:firstLine="480"/>
        <w:jc w:val="both"/>
      </w:pPr>
      <w:r>
        <w:rPr>
          <w:rFonts w:ascii="仿宋_GB2312" w:hAnsi="仿宋_GB2312" w:eastAsia="仿宋_GB2312" w:cs="仿宋_GB2312"/>
          <w:b w:val="0"/>
          <w:sz w:val="32"/>
        </w:rPr>
        <w:t>3、提出麦盖提县生态环境领域固定资产投资规模和方向、国家和自治区、地区、县财政性资金安排的意见，按照自治区人民政府和行署规定权限审批、核准麦盖提规划内和年度计划规模内固定资产投资项目，配合有关部门做好组织实施和监督工作。参与指导推动循环经济和生态环保产业发展。</w:t>
      </w:r>
    </w:p>
    <w:p>
      <w:pPr>
        <w:ind w:firstLine="480"/>
        <w:jc w:val="both"/>
      </w:pPr>
      <w:r>
        <w:rPr>
          <w:rFonts w:ascii="仿宋_GB2312" w:hAnsi="仿宋_GB2312" w:eastAsia="仿宋_GB2312" w:cs="仿宋_GB2312"/>
          <w:b w:val="0"/>
          <w:sz w:val="32"/>
        </w:rPr>
        <w:t>4、负责环境污染防治的监督管理。</w:t>
      </w:r>
    </w:p>
    <w:p>
      <w:pPr>
        <w:ind w:firstLine="480"/>
        <w:jc w:val="both"/>
      </w:pPr>
      <w:r>
        <w:rPr>
          <w:rFonts w:ascii="仿宋_GB2312" w:hAnsi="仿宋_GB2312" w:eastAsia="仿宋_GB2312" w:cs="仿宋_GB2312"/>
          <w:b w:val="0"/>
          <w:sz w:val="32"/>
        </w:rPr>
        <w:t>5、指导协调和监督生态保护修复工作。</w:t>
      </w:r>
    </w:p>
    <w:p>
      <w:pPr>
        <w:ind w:firstLine="480"/>
        <w:jc w:val="both"/>
      </w:pPr>
      <w:r>
        <w:rPr>
          <w:rFonts w:ascii="仿宋_GB2312" w:hAnsi="仿宋_GB2312" w:eastAsia="仿宋_GB2312" w:cs="仿宋_GB2312"/>
          <w:b w:val="0"/>
          <w:sz w:val="32"/>
        </w:rPr>
        <w:t>6、负责核与辐射安全的监督管理。</w:t>
      </w:r>
    </w:p>
    <w:p>
      <w:pPr>
        <w:ind w:firstLine="480"/>
        <w:jc w:val="both"/>
      </w:pPr>
      <w:r>
        <w:rPr>
          <w:rFonts w:ascii="仿宋_GB2312" w:hAnsi="仿宋_GB2312" w:eastAsia="仿宋_GB2312" w:cs="仿宋_GB2312"/>
          <w:b w:val="0"/>
          <w:sz w:val="32"/>
        </w:rPr>
        <w:t>7、负责生态环境准入的监督管理。</w:t>
      </w:r>
    </w:p>
    <w:p>
      <w:pPr>
        <w:ind w:firstLine="480"/>
        <w:jc w:val="both"/>
      </w:pPr>
      <w:r>
        <w:rPr>
          <w:rFonts w:ascii="仿宋_GB2312" w:hAnsi="仿宋_GB2312" w:eastAsia="仿宋_GB2312" w:cs="仿宋_GB2312"/>
          <w:b w:val="0"/>
          <w:sz w:val="32"/>
        </w:rPr>
        <w:t>8、负责生态环境监测工作。</w:t>
      </w:r>
    </w:p>
    <w:p>
      <w:pPr>
        <w:ind w:firstLine="480"/>
        <w:jc w:val="both"/>
      </w:pPr>
      <w:r>
        <w:rPr>
          <w:rFonts w:ascii="仿宋_GB2312" w:hAnsi="仿宋_GB2312" w:eastAsia="仿宋_GB2312" w:cs="仿宋_GB2312"/>
          <w:b w:val="0"/>
          <w:sz w:val="32"/>
        </w:rPr>
        <w:t>9、负责应对气候变化工作。</w:t>
      </w:r>
    </w:p>
    <w:p>
      <w:pPr>
        <w:ind w:firstLine="480"/>
        <w:jc w:val="both"/>
      </w:pPr>
      <w:r>
        <w:rPr>
          <w:rFonts w:ascii="仿宋_GB2312" w:hAnsi="仿宋_GB2312" w:eastAsia="仿宋_GB2312" w:cs="仿宋_GB2312"/>
          <w:b w:val="0"/>
          <w:sz w:val="32"/>
        </w:rPr>
        <w:t>10、负责生态环境监察工作。</w:t>
      </w:r>
    </w:p>
    <w:p>
      <w:pPr>
        <w:ind w:firstLine="480"/>
        <w:jc w:val="both"/>
      </w:pPr>
      <w:r>
        <w:rPr>
          <w:rFonts w:ascii="仿宋_GB2312" w:hAnsi="仿宋_GB2312" w:eastAsia="仿宋_GB2312" w:cs="仿宋_GB2312"/>
          <w:b w:val="0"/>
          <w:sz w:val="32"/>
        </w:rPr>
        <w:t>11、统一负责生态环境监督执法。</w:t>
      </w:r>
    </w:p>
    <w:p>
      <w:pPr>
        <w:ind w:firstLine="480"/>
        <w:jc w:val="both"/>
      </w:pPr>
      <w:r>
        <w:rPr>
          <w:rFonts w:ascii="仿宋_GB2312" w:hAnsi="仿宋_GB2312" w:eastAsia="仿宋_GB2312" w:cs="仿宋_GB2312"/>
          <w:b w:val="0"/>
          <w:sz w:val="32"/>
        </w:rPr>
        <w:t>12、组织指导和协调生态环境保护宣传教育工作，制定并组织实施生态环境保护宣传教育规划，推动社会组织和公众参与生态环境保护。</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新疆喀什地区麦盖提县生态环境局2019年度，实有人数21人，其中：在职人员18人，离休人员0人，退休人员3人。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从部门决算单位构成看，新疆喀什地区麦盖提县生态环境局部门决算包括：新疆喀什地区麦盖提县生态环境局决算。</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365.95万元，与上年相比，减少114.48万元，下降23.83%，主要原因是：农村人居环境整治项目专项资金较去年较少。本年支出365.95万元，与上年相比，减少114.48万元，下降23.83%，主要原因是：农村人居环境整治项目专项资金较去年较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2019年度本年收入365.95万元，其中：财政拨款收入365.95万元，占100%；上级补助收入0万元，占0%；事业收入0万元，占0%；经营收入0万元，占0%；附属单位上缴收入0万元，占0%；其他收入0万元，占0%。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2019年度本年支出365.95万元，其中：基本支出224.11万元，占61.24%；项目支出141.84万元，占38.76%；上缴上级支出0万元，占0%；经营支出0万元，占0%；对附属单位补助支出0万元，占0%。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365.95万元，与上年相比，减少114.48万元，下降23.83%，主要原因是：农村人居环境整治项目专项资金较去年较少。财政拨款支出365.95万元，与上年相比，减少114.48万元，下降23.83%，主要原因是：农村人居环境整治项目专项资金较去年较少。</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258.31万元，决算数365.95万元，预决算差异率41.67%，主要原因是：年初预算无法预计年中到达的部分专项资金，待资金实际到达后，通过预算追加的方式下达单位，因此决算数大于预算数。财政拨款支出年初预算数258.31万元，决算数365.95万元，预决算差异率41.67%，主要原因是：年初预算无法预计年中到达的部分专项资金，待资金实际到达后，通过预算追加的方式下达单位，因此决算数大于预算数。</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2019年度一般公共预算财政拨款支出365.95万元。按功能分类科目项级科目公开，其中：</w:t>
      </w:r>
    </w:p>
    <w:p>
      <w:pPr>
        <w:ind w:firstLine="480"/>
        <w:jc w:val="both"/>
      </w:pPr>
      <w:r>
        <w:rPr>
          <w:rFonts w:ascii="仿宋_GB2312" w:hAnsi="仿宋_GB2312" w:eastAsia="仿宋_GB2312" w:cs="仿宋_GB2312"/>
          <w:b w:val="0"/>
          <w:sz w:val="32"/>
        </w:rPr>
        <w:t xml:space="preserve">   2080505机关事业单位基本养老保险缴费支出21.35万元；</w:t>
      </w:r>
    </w:p>
    <w:p>
      <w:pPr>
        <w:ind w:firstLine="480"/>
        <w:jc w:val="both"/>
      </w:pPr>
      <w:r>
        <w:rPr>
          <w:rFonts w:ascii="仿宋_GB2312" w:hAnsi="仿宋_GB2312" w:eastAsia="仿宋_GB2312" w:cs="仿宋_GB2312"/>
          <w:b w:val="0"/>
          <w:sz w:val="32"/>
        </w:rPr>
        <w:t xml:space="preserve">   2110101行政运行支出186.04万元；</w:t>
      </w:r>
    </w:p>
    <w:p>
      <w:pPr>
        <w:ind w:firstLine="480"/>
        <w:jc w:val="both"/>
      </w:pPr>
      <w:r>
        <w:rPr>
          <w:rFonts w:ascii="仿宋_GB2312" w:hAnsi="仿宋_GB2312" w:eastAsia="仿宋_GB2312" w:cs="仿宋_GB2312"/>
          <w:b w:val="0"/>
          <w:sz w:val="32"/>
        </w:rPr>
        <w:t xml:space="preserve">   2110199其他环境保护管理事务支出49.09万元；</w:t>
      </w:r>
    </w:p>
    <w:p>
      <w:pPr>
        <w:ind w:firstLine="480"/>
        <w:jc w:val="both"/>
      </w:pPr>
      <w:r>
        <w:rPr>
          <w:rFonts w:ascii="仿宋_GB2312" w:hAnsi="仿宋_GB2312" w:eastAsia="仿宋_GB2312" w:cs="仿宋_GB2312"/>
          <w:b w:val="0"/>
          <w:sz w:val="32"/>
        </w:rPr>
        <w:t xml:space="preserve">   2110301大气支出10.63万元；</w:t>
      </w:r>
    </w:p>
    <w:p>
      <w:pPr>
        <w:ind w:firstLine="480"/>
        <w:jc w:val="both"/>
      </w:pPr>
      <w:r>
        <w:rPr>
          <w:rFonts w:ascii="仿宋_GB2312" w:hAnsi="仿宋_GB2312" w:eastAsia="仿宋_GB2312" w:cs="仿宋_GB2312"/>
          <w:b w:val="0"/>
          <w:sz w:val="32"/>
        </w:rPr>
        <w:t xml:space="preserve">   2110302水体支出20.90万元；</w:t>
      </w:r>
    </w:p>
    <w:p>
      <w:pPr>
        <w:ind w:firstLine="480"/>
        <w:jc w:val="both"/>
      </w:pPr>
      <w:r>
        <w:rPr>
          <w:rFonts w:ascii="仿宋_GB2312" w:hAnsi="仿宋_GB2312" w:eastAsia="仿宋_GB2312" w:cs="仿宋_GB2312"/>
          <w:b w:val="0"/>
          <w:sz w:val="32"/>
        </w:rPr>
        <w:t xml:space="preserve">   2110402农村环境保护支出4.23万元；</w:t>
      </w:r>
    </w:p>
    <w:p>
      <w:pPr>
        <w:ind w:firstLine="480"/>
        <w:jc w:val="both"/>
      </w:pPr>
      <w:r>
        <w:rPr>
          <w:rFonts w:ascii="仿宋_GB2312" w:hAnsi="仿宋_GB2312" w:eastAsia="仿宋_GB2312" w:cs="仿宋_GB2312"/>
          <w:b w:val="0"/>
          <w:sz w:val="32"/>
        </w:rPr>
        <w:t xml:space="preserve">   2111101生态环境监测与信息支出56.99万元；</w:t>
      </w:r>
    </w:p>
    <w:p>
      <w:pPr>
        <w:ind w:firstLine="480"/>
        <w:jc w:val="both"/>
      </w:pPr>
      <w:r>
        <w:rPr>
          <w:rFonts w:ascii="仿宋_GB2312" w:hAnsi="仿宋_GB2312" w:eastAsia="仿宋_GB2312" w:cs="仿宋_GB2312"/>
          <w:b w:val="0"/>
          <w:sz w:val="32"/>
        </w:rPr>
        <w:t xml:space="preserve">   2210201住房公积金支出16.72万元。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2019年度一般公共预算财政拨款基本支出224.11万元，其中：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人员经费205.12万元，包括：基本工资、津贴补贴、奖金、机关事业单位基本养老保险缴费、职工基本医疗保险缴费、公务员医疗补助缴费、其他社会保障缴费、住房公积金、退休费、奖励金。</w:t>
      </w:r>
    </w:p>
    <w:p>
      <w:pPr>
        <w:ind w:firstLine="640" w:firstLineChars="200"/>
        <w:rPr>
          <w:rFonts w:ascii="仿宋_GB2312" w:eastAsia="仿宋_GB2312"/>
          <w:sz w:val="32"/>
          <w:szCs w:val="32"/>
        </w:rPr>
      </w:pPr>
      <w:r>
        <w:rPr>
          <w:rFonts w:ascii="仿宋_GB2312" w:hAnsi="仿宋_GB2312" w:eastAsia="仿宋_GB2312" w:cs="仿宋_GB2312"/>
          <w:sz w:val="32"/>
        </w:rPr>
        <w:t>公用经费18.99万元，包括：办公费、印刷费、水费、电费、邮电费、取暖费、差旅费、劳务费、公务用车运行维护费、其他商品和服务支出。</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4.92万元，比上年增加3.67万元，增长293.6%，主要原因是19年上级检查督查工作较去年增加，下乡检查指导工作使用车辆频繁，所需费用较去年增加。其中，因公出国（境）费支出0万元，占0%，比上年增加0万元，增长0%，主要原因是与上年相比无变动，与上年一致；公务用车购置及运行维护费支出4.92万元，占100%，比上年增加3.67万元，增长293.6%，主要原因是19年上级检查督查工作较去年增加，下乡检查指导工作使用车辆频繁，所需费用较去年增加；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公务用车购置及运行维护费4.92万元，其中，公务用车购置费0万元，公务用车运行维护费4.92万元。公务用车运行维护费开支内容包括燃油费、维修费、保险费。公务用车购置数0辆，公务用车保有量3辆。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3.12万元，决算数4.92万元，预决算差异率57.69%，主要原因是：年初预算三公经费在基本支出中，19年上级检查指导工作较去年增加，为保证正常开展相关工作，从项目中列支部分车辆运行维护费，因此决算数大于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3.12万元，决算数4.92万元，预决算差异率57.69%，主要原因是：年初预算三公经费在基本支出中，19年上级检查指导工作较去年增加，为保证正常开展相关工作，从项目中列支部分车辆运行维护费，因此决算数大于预算数；公务接待费预算数0万元，决算数0万元，预决算差异率0%，主要原因是：预算未安排，也无相应支出，因此预决算无差异。</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2019年度新疆喀什地区麦盖提县生态环境局机关运行经费支出18.99万元，比上年增加6.82万元，增长56.04%，主要原因是19年上级检查督查工作较去年增加，为做好迎检工作，所需的日常工作经费较去年增加。</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2019年度政府采购支出总额107.79万元，其中：政府采购货物支出11.60万元、政府采购工程支出0万元、政府采购服务支出96.19万元。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授予中小企业合同金额96.19万元，占政府采购支出总额的89.24%，其中：授予小微企业合同金额96.19万元，占政府采购支出总额的89.24%。</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2,702（平方米），价值610.78万元。车辆3辆，价值3.32万元，其中：副部（省）级及以上领导用车0辆、主要领导干部用车0辆、机要通信用车0辆、应急保障用车0辆、执法执勤用车0辆、特种专业技术用车0辆、离退休干部用车0辆、其他用车3辆，其他用车主要是：一般公务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lang w:val="en-US"/>
        </w:rPr>
      </w:pPr>
      <w:bookmarkStart w:id="34" w:name="_Toc24143"/>
      <w:bookmarkStart w:id="35" w:name="_Toc3250"/>
      <w:r>
        <w:rPr>
          <w:rFonts w:hint="eastAsia" w:ascii="仿宋_GB2312" w:hAnsi="仿宋_GB2312" w:eastAsia="仿宋_GB2312" w:cs="仿宋_GB2312"/>
          <w:sz w:val="32"/>
          <w:lang w:val="en-US" w:eastAsia="zh-CN"/>
        </w:rPr>
        <w:t>根据预算绩效管理要求，我单位2019年度开展预算绩效评价项目0个，共涉及资金0万元。预算绩效管理取得的成效：无。发现的问题及原因：无。下一步改进措施：无。本单位无有关预算绩效管理和绩效自评开展情况。</w:t>
      </w:r>
    </w:p>
    <w:p>
      <w:pPr>
        <w:ind w:firstLine="640" w:firstLineChars="200"/>
        <w:jc w:val="center"/>
        <w:outlineLvl w:val="0"/>
        <w:rPr>
          <w:rFonts w:ascii="黑体" w:hAnsi="黑体" w:eastAsia="黑体"/>
          <w:sz w:val="32"/>
          <w:szCs w:val="32"/>
        </w:rPr>
      </w:pPr>
      <w:bookmarkStart w:id="54" w:name="_GoBack"/>
      <w:bookmarkEnd w:id="54"/>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0B2334D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1031</Words>
  <Characters>5881</Characters>
  <Lines>49</Lines>
  <Paragraphs>13</Paragraphs>
  <TotalTime>0</TotalTime>
  <ScaleCrop>false</ScaleCrop>
  <LinksUpToDate>false</LinksUpToDate>
  <CharactersWithSpaces>6899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2020-10-04T05:34:02Z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