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新疆喀什地区麦盖提县工业园区管委会办公室2019年度部门决算公开说明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1、贯彻执行党的路线、方针、政策和县委、县政府的各项决定、决议，并结合实际开展工作；</w:t>
      </w:r>
    </w:p>
    <w:p>
      <w:pPr>
        <w:ind w:firstLine="480"/>
        <w:jc w:val="both"/>
      </w:pPr>
      <w:r>
        <w:rPr>
          <w:rFonts w:ascii="仿宋_GB2312" w:hAnsi="仿宋_GB2312" w:cs="仿宋_GB2312" w:eastAsia="仿宋_GB2312"/>
          <w:b w:val="false"/>
          <w:sz w:val="32"/>
        </w:rPr>
        <w:t>2、编制园区经济、社会发展规划和年度计划，制定园区管理办法与促进经济发展的具体政策、措施，经批准后组织实施；</w:t>
      </w:r>
    </w:p>
    <w:p>
      <w:pPr>
        <w:ind w:firstLine="480"/>
        <w:jc w:val="both"/>
      </w:pPr>
      <w:r>
        <w:rPr>
          <w:rFonts w:ascii="仿宋_GB2312" w:hAnsi="仿宋_GB2312" w:cs="仿宋_GB2312" w:eastAsia="仿宋_GB2312"/>
          <w:b w:val="false"/>
          <w:sz w:val="32"/>
        </w:rPr>
        <w:t>3、按照规定权限负责园区招商引资工作，研究拟订园区招商引资优惠政策，做好招商引资项目的跟踪服务工作；</w:t>
      </w:r>
    </w:p>
    <w:p>
      <w:pPr>
        <w:ind w:firstLine="480"/>
        <w:jc w:val="both"/>
      </w:pPr>
      <w:r>
        <w:rPr>
          <w:rFonts w:ascii="仿宋_GB2312" w:hAnsi="仿宋_GB2312" w:cs="仿宋_GB2312" w:eastAsia="仿宋_GB2312"/>
          <w:b w:val="false"/>
          <w:sz w:val="32"/>
        </w:rPr>
        <w:t>4、负责组织编制园区总体规划，组织实施园区内各项基础设施和公共设施的建设和管理；</w:t>
      </w:r>
    </w:p>
    <w:p>
      <w:pPr>
        <w:ind w:firstLine="480"/>
        <w:jc w:val="both"/>
      </w:pPr>
      <w:r>
        <w:rPr>
          <w:rFonts w:ascii="仿宋_GB2312" w:hAnsi="仿宋_GB2312" w:cs="仿宋_GB2312" w:eastAsia="仿宋_GB2312"/>
          <w:b w:val="false"/>
          <w:sz w:val="32"/>
        </w:rPr>
        <w:t>5、根据园区总体规划和土地利用总体规划，依法进行园区内土地的规划、开发和土地利用管理；</w:t>
      </w:r>
    </w:p>
    <w:p>
      <w:pPr>
        <w:ind w:firstLine="480"/>
        <w:jc w:val="both"/>
      </w:pPr>
      <w:r>
        <w:rPr>
          <w:rFonts w:ascii="仿宋_GB2312" w:hAnsi="仿宋_GB2312" w:cs="仿宋_GB2312" w:eastAsia="仿宋_GB2312"/>
          <w:b w:val="false"/>
          <w:sz w:val="32"/>
        </w:rPr>
        <w:t>6、负责园区公共事务管理、社会综合执法监督、安全生产监督和社会治安工作；</w:t>
      </w:r>
    </w:p>
    <w:p>
      <w:pPr>
        <w:ind w:firstLine="480"/>
        <w:jc w:val="both"/>
      </w:pPr>
      <w:r>
        <w:rPr>
          <w:rFonts w:ascii="仿宋_GB2312" w:hAnsi="仿宋_GB2312" w:cs="仿宋_GB2312" w:eastAsia="仿宋_GB2312"/>
          <w:b w:val="false"/>
          <w:sz w:val="32"/>
        </w:rPr>
        <w:t>7、按照国家规定办理园区的涉外事务，管理园区的进出口业务；</w:t>
      </w:r>
    </w:p>
    <w:p>
      <w:pPr>
        <w:ind w:firstLine="480"/>
        <w:jc w:val="both"/>
      </w:pPr>
      <w:r>
        <w:rPr>
          <w:rFonts w:ascii="仿宋_GB2312" w:hAnsi="仿宋_GB2312" w:cs="仿宋_GB2312" w:eastAsia="仿宋_GB2312"/>
          <w:b w:val="false"/>
          <w:sz w:val="32"/>
        </w:rPr>
        <w:t>8、负责园区内党的建设和党员干部队伍建设及管理；</w:t>
      </w:r>
    </w:p>
    <w:p>
      <w:pPr>
        <w:ind w:firstLine="480"/>
        <w:jc w:val="both"/>
      </w:pPr>
      <w:r>
        <w:rPr>
          <w:rFonts w:ascii="仿宋_GB2312" w:hAnsi="仿宋_GB2312" w:cs="仿宋_GB2312" w:eastAsia="仿宋_GB2312"/>
          <w:b w:val="false"/>
          <w:sz w:val="32"/>
        </w:rPr>
        <w:t>9、负责园区内企事业单位的统计工作，及时、准确、全面地汇总上报统计数据；</w:t>
      </w:r>
    </w:p>
    <w:p>
      <w:pPr>
        <w:ind w:firstLine="480"/>
        <w:jc w:val="both"/>
      </w:pPr>
      <w:r>
        <w:rPr>
          <w:rFonts w:ascii="仿宋_GB2312" w:hAnsi="仿宋_GB2312" w:cs="仿宋_GB2312" w:eastAsia="仿宋_GB2312"/>
          <w:b w:val="false"/>
          <w:sz w:val="32"/>
        </w:rPr>
        <w:t>10、承办县委、县政府交办的其他事项。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新疆喀什地区麦盖提县工业园区管委会办公室2019年度，实有人数14人，其中：在职人员13人，离休人员0人，退休人员1人。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从部门决算单位构成看，新疆喀什地区麦盖提县工业园区管委会办公室部门决算包括：新疆喀什地区麦盖提县工业园区管委会办公室决算。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12,373.55万元，与上年相比，增加4,295.58万元，增长53.18%，主要原因是：上级专项资金及专项债券资金较去年增加。本年支出13,485.88万元，与上年相比，增加6,734.72万元，增长99.76%，主要原因是：上级专项资金及专项债券资金较去年增加，相应支出增加，同时去年结转资金今年支出。</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2019年度本年收入12,373.55万元，其中：财政拨款收入9,997.57万元，占80.8%；上级补助收入0万元，占0%；事业收入0万元，占0%；经营收入0万元，占0%；附属单位上缴收入0万元，占0%；其他收入2,375.98万元，占19.2%。</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2019年度本年支出13,485.88万元，其中：基本支出241.94万元，占1.79%；项目支出13,243.94万元，占98.21%；上缴上级支出0万元，占0%；经营支出0万元，占0%；对附属单位补助支出0万元，占0%。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9,997.57万元，与上年相比，增加4,513.11万元，增长82.29%，主要原因是：上级专项资金及专项债券资金较去年增加。财政拨款支出11,049.57万元，与上年相比，增加6,671.16万元，增长152.36%，主要原因是：上级专项资金及专项债券资金较去年增加，相应支出增加，同时去年结转资金今年支出。</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190.60万元，决算数9,997.57万元，预决算差异率5145.31%，主要原因是：年初预算不含部分年中到达的专项资金以及债券资金，待资金到达后，通过预算追加的方式下达单位，因此决算数大于预算数。财政拨款支出年初预算数190.60万元，决算数11,049.57万元，预决算差异率5697.26%，主要原因是：年初预算不含部分年中到达的专项资金以及债券资金，待资金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2019年度一般公共预算财政拨款支出9,186.63万元。按功能分类科目项级科目公开，其中：</w:t>
      </w:r>
    </w:p>
    <w:p>
      <w:pPr>
        <w:ind w:firstLine="480"/>
        <w:jc w:val="both"/>
      </w:pPr>
      <w:r>
        <w:rPr>
          <w:rFonts w:ascii="仿宋_GB2312" w:hAnsi="仿宋_GB2312" w:cs="仿宋_GB2312" w:eastAsia="仿宋_GB2312"/>
          <w:b w:val="false"/>
          <w:sz w:val="32"/>
        </w:rPr>
        <w:t xml:space="preserve">   2011350事业运行支出212.22万元；</w:t>
      </w:r>
    </w:p>
    <w:p>
      <w:pPr>
        <w:ind w:firstLine="480"/>
        <w:jc w:val="both"/>
      </w:pPr>
      <w:r>
        <w:rPr>
          <w:rFonts w:ascii="仿宋_GB2312" w:hAnsi="仿宋_GB2312" w:cs="仿宋_GB2312" w:eastAsia="仿宋_GB2312"/>
          <w:b w:val="false"/>
          <w:sz w:val="32"/>
        </w:rPr>
        <w:t xml:space="preserve">   2011399其他商贸事务支出60万元；</w:t>
      </w:r>
    </w:p>
    <w:p>
      <w:pPr>
        <w:ind w:firstLine="480"/>
        <w:jc w:val="both"/>
      </w:pPr>
      <w:r>
        <w:rPr>
          <w:rFonts w:ascii="仿宋_GB2312" w:hAnsi="仿宋_GB2312" w:cs="仿宋_GB2312" w:eastAsia="仿宋_GB2312"/>
          <w:b w:val="false"/>
          <w:sz w:val="32"/>
        </w:rPr>
        <w:t xml:space="preserve">   2070199其他文化和旅游支出151万元；</w:t>
      </w:r>
    </w:p>
    <w:p>
      <w:pPr>
        <w:ind w:firstLine="480"/>
        <w:jc w:val="both"/>
      </w:pPr>
      <w:r>
        <w:rPr>
          <w:rFonts w:ascii="仿宋_GB2312" w:hAnsi="仿宋_GB2312" w:cs="仿宋_GB2312" w:eastAsia="仿宋_GB2312"/>
          <w:b w:val="false"/>
          <w:sz w:val="32"/>
        </w:rPr>
        <w:t xml:space="preserve">   2080505机关事业单位基本养老保险缴费支出16.86万元；</w:t>
      </w:r>
    </w:p>
    <w:p>
      <w:pPr>
        <w:ind w:firstLine="480"/>
        <w:jc w:val="both"/>
      </w:pPr>
      <w:r>
        <w:rPr>
          <w:rFonts w:ascii="仿宋_GB2312" w:hAnsi="仿宋_GB2312" w:cs="仿宋_GB2312" w:eastAsia="仿宋_GB2312"/>
          <w:b w:val="false"/>
          <w:sz w:val="32"/>
        </w:rPr>
        <w:t xml:space="preserve">   2110402农村环境保护支出22.68万元；</w:t>
      </w:r>
    </w:p>
    <w:p>
      <w:pPr>
        <w:ind w:firstLine="480"/>
        <w:jc w:val="both"/>
      </w:pPr>
      <w:r>
        <w:rPr>
          <w:rFonts w:ascii="仿宋_GB2312" w:hAnsi="仿宋_GB2312" w:cs="仿宋_GB2312" w:eastAsia="仿宋_GB2312"/>
          <w:b w:val="false"/>
          <w:sz w:val="32"/>
        </w:rPr>
        <w:t xml:space="preserve">   2120399其他城乡社区公共设施支出161.40万元；</w:t>
      </w:r>
    </w:p>
    <w:p>
      <w:pPr>
        <w:ind w:firstLine="480"/>
        <w:jc w:val="both"/>
      </w:pPr>
      <w:r>
        <w:rPr>
          <w:rFonts w:ascii="仿宋_GB2312" w:hAnsi="仿宋_GB2312" w:cs="仿宋_GB2312" w:eastAsia="仿宋_GB2312"/>
          <w:b w:val="false"/>
          <w:sz w:val="32"/>
        </w:rPr>
        <w:t xml:space="preserve">   2130199其他农业支出137.44万元；</w:t>
      </w:r>
    </w:p>
    <w:p>
      <w:pPr>
        <w:ind w:firstLine="480"/>
        <w:jc w:val="both"/>
      </w:pPr>
      <w:r>
        <w:rPr>
          <w:rFonts w:ascii="仿宋_GB2312" w:hAnsi="仿宋_GB2312" w:cs="仿宋_GB2312" w:eastAsia="仿宋_GB2312"/>
          <w:b w:val="false"/>
          <w:sz w:val="32"/>
        </w:rPr>
        <w:t xml:space="preserve">   2130299其他林业和草原支出540.54万元；</w:t>
      </w:r>
    </w:p>
    <w:p>
      <w:pPr>
        <w:ind w:firstLine="480"/>
        <w:jc w:val="both"/>
      </w:pPr>
      <w:r>
        <w:rPr>
          <w:rFonts w:ascii="仿宋_GB2312" w:hAnsi="仿宋_GB2312" w:cs="仿宋_GB2312" w:eastAsia="仿宋_GB2312"/>
          <w:b w:val="false"/>
          <w:sz w:val="32"/>
        </w:rPr>
        <w:t xml:space="preserve">   2130335农村人畜饮水支出400万元；</w:t>
      </w:r>
    </w:p>
    <w:p>
      <w:pPr>
        <w:ind w:firstLine="480"/>
        <w:jc w:val="both"/>
      </w:pPr>
      <w:r>
        <w:rPr>
          <w:rFonts w:ascii="仿宋_GB2312" w:hAnsi="仿宋_GB2312" w:cs="仿宋_GB2312" w:eastAsia="仿宋_GB2312"/>
          <w:b w:val="false"/>
          <w:sz w:val="32"/>
        </w:rPr>
        <w:t xml:space="preserve">   2130399其他水利支出532万元；</w:t>
      </w:r>
    </w:p>
    <w:p>
      <w:pPr>
        <w:ind w:firstLine="480"/>
        <w:jc w:val="both"/>
      </w:pPr>
      <w:r>
        <w:rPr>
          <w:rFonts w:ascii="仿宋_GB2312" w:hAnsi="仿宋_GB2312" w:cs="仿宋_GB2312" w:eastAsia="仿宋_GB2312"/>
          <w:b w:val="false"/>
          <w:sz w:val="32"/>
        </w:rPr>
        <w:t xml:space="preserve">   2130505生产发展支出4,435.04万元；</w:t>
      </w:r>
    </w:p>
    <w:p>
      <w:pPr>
        <w:ind w:firstLine="480"/>
        <w:jc w:val="both"/>
      </w:pPr>
      <w:r>
        <w:rPr>
          <w:rFonts w:ascii="仿宋_GB2312" w:hAnsi="仿宋_GB2312" w:cs="仿宋_GB2312" w:eastAsia="仿宋_GB2312"/>
          <w:b w:val="false"/>
          <w:sz w:val="32"/>
        </w:rPr>
        <w:t xml:space="preserve">   2130599其他扶贫支出151.20万元；</w:t>
      </w:r>
    </w:p>
    <w:p>
      <w:pPr>
        <w:ind w:firstLine="480"/>
        <w:jc w:val="both"/>
      </w:pPr>
      <w:r>
        <w:rPr>
          <w:rFonts w:ascii="仿宋_GB2312" w:hAnsi="仿宋_GB2312" w:cs="仿宋_GB2312" w:eastAsia="仿宋_GB2312"/>
          <w:b w:val="false"/>
          <w:sz w:val="32"/>
        </w:rPr>
        <w:t xml:space="preserve">   2130701对村级一事一议的补助支出0.10万元；</w:t>
      </w:r>
    </w:p>
    <w:p>
      <w:pPr>
        <w:ind w:firstLine="480"/>
        <w:jc w:val="both"/>
      </w:pPr>
      <w:r>
        <w:rPr>
          <w:rFonts w:ascii="仿宋_GB2312" w:hAnsi="仿宋_GB2312" w:cs="仿宋_GB2312" w:eastAsia="仿宋_GB2312"/>
          <w:b w:val="false"/>
          <w:sz w:val="32"/>
        </w:rPr>
        <w:t xml:space="preserve">   2140602车辆购置税用于农村公路建设支出1,276.98万元；</w:t>
      </w:r>
    </w:p>
    <w:p>
      <w:pPr>
        <w:ind w:firstLine="480"/>
        <w:jc w:val="both"/>
      </w:pPr>
      <w:r>
        <w:rPr>
          <w:rFonts w:ascii="仿宋_GB2312" w:hAnsi="仿宋_GB2312" w:cs="仿宋_GB2312" w:eastAsia="仿宋_GB2312"/>
          <w:b w:val="false"/>
          <w:sz w:val="32"/>
        </w:rPr>
        <w:t xml:space="preserve">   2150204纺织业支出1,052万元；</w:t>
      </w:r>
    </w:p>
    <w:p>
      <w:pPr>
        <w:ind w:firstLine="480"/>
        <w:jc w:val="both"/>
      </w:pPr>
      <w:r>
        <w:rPr>
          <w:rFonts w:ascii="仿宋_GB2312" w:hAnsi="仿宋_GB2312" w:cs="仿宋_GB2312" w:eastAsia="仿宋_GB2312"/>
          <w:b w:val="false"/>
          <w:sz w:val="32"/>
        </w:rPr>
        <w:t xml:space="preserve">   2160299其他商业流通事务支出2.72万元；</w:t>
      </w:r>
    </w:p>
    <w:p>
      <w:pPr>
        <w:ind w:firstLine="480"/>
        <w:jc w:val="both"/>
      </w:pPr>
      <w:r>
        <w:rPr>
          <w:rFonts w:ascii="仿宋_GB2312" w:hAnsi="仿宋_GB2312" w:cs="仿宋_GB2312" w:eastAsia="仿宋_GB2312"/>
          <w:b w:val="false"/>
          <w:sz w:val="32"/>
        </w:rPr>
        <w:t xml:space="preserve">   2200110国土整治支出21.52万元；</w:t>
      </w:r>
    </w:p>
    <w:p>
      <w:pPr>
        <w:ind w:firstLine="480"/>
        <w:jc w:val="both"/>
      </w:pPr>
      <w:r>
        <w:rPr>
          <w:rFonts w:ascii="仿宋_GB2312" w:hAnsi="仿宋_GB2312" w:cs="仿宋_GB2312" w:eastAsia="仿宋_GB2312"/>
          <w:b w:val="false"/>
          <w:sz w:val="32"/>
        </w:rPr>
        <w:t xml:space="preserve">   2210201住房公积金支出12.86万元；</w:t>
      </w:r>
    </w:p>
    <w:p>
      <w:pPr>
        <w:ind w:firstLine="480"/>
        <w:jc w:val="both"/>
      </w:pPr>
      <w:r>
        <w:rPr>
          <w:rFonts w:ascii="仿宋_GB2312" w:hAnsi="仿宋_GB2312" w:cs="仿宋_GB2312" w:eastAsia="仿宋_GB2312"/>
          <w:b w:val="false"/>
          <w:sz w:val="32"/>
        </w:rPr>
        <w:t xml:space="preserve">   2220199其他粮油事务支出0.06万元。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2019年度一般公共预算财政拨款基本支出241.94万元，其中：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人员经费158.78万元，包括：基本工资、津贴补贴、奖金、绩效工资、机关事业单位基本养老保险缴费、职工基本医疗保险缴费、其他社会保障缴费、住房公积金、其他工资福利支出、其他对个人和家庭的补助。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公用经费83.16万元，包括：办公费、咨询费、电费、取暖费、差旅费、委托业务费、公务用车运行维护费、其他商品和服务支出。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4.84万元，比上年增加3.84万元，增长384%，主要原因是下乡开展扶贫工作及宣讲工作较多，车辆使用频繁，燃油费增加。其中，因公出国（境）费支出0万元，占0%，比上年增加0万元，增长0%，主要原因是与上年相比无变动，与上年一致；公务用车购置及运行维护费支出4.84万元，占100%，比上年增加3.84万元，增长384%，主要原因是下乡开展扶贫工作及宣讲工作较多，车辆使用频繁，燃油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公务用车购置及运行维护费4.84万元，其中，公务用车购置费0万元，公务用车运行维护费4.84万元。公务用车运行维护费开支内容包括保险费、燃油费、维修费。公务用车购置数0辆，公务用车保有量2辆。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4.50万元，决算数4.84万元，预决算差异率7.56%，主要原因是：项目资金较去年增加，为保障正常开展专项业务活动，车辆使用频繁，燃油费增加，为此通过预算追加资金，因此决算数大于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4.50万元，决算数4.84万元，预决算差异率7.56%，主要原因是：项目资金较去年增加，为保障正常开展专项业务活动，车辆使用频繁，燃油费增加，为此通过预算追加资金，因此决算数大于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1,862.94万元，与上年相比，增加715.94万元，增长62.42%，主要原因是：专项债券资金增加，18年无此项资金，其次征地和拆迁补偿支出资金较去年增加。政府性基金预算支出1,862.94万元，与上年相比，增加715.94万元，增长62.42%，主要原因是：专项债券资金增加，18年无此项资金，其次征地和拆迁补偿支出资金较去年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新疆喀什地区麦盖提县工业园区管委会办公室日常公用经费83.16万元，比上年增加69.17万元，增长494.42%，主要原因是今年项目资金较去年增加，为开展专项业务活动，委托业务费较去年增加，日常公用经费增加。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2019年度政府采购支出总额2,606.88万元，其中：政府采购货物支出2,606.13万元、政府采购工程支出0万元、政府采购服务支出0.75万元。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授予中小企业合同金额0.75万元，占政府采购支出总额的0.03%，其中：授予小微企业合同金额0.75万元，占政府采购支出总额的0.03%。</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24.13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8478.63万元。预算绩效管理取得的成效：1、扶贫作坊及附属设施建设项目：有效吸纳和解决周边乡村富余劳动力特别是贫困户就业。实现当地农户“出家门、进厂门”和“一人就业全家脱贫”的目标。项目拟建设项目按期完成企业落地投产后产值将大于1000万，提供就业岗位大于2400人（其中贫困人口就业人数大于600人），人均年工资大于10000元；2、输变电项目：项目建成为多家企业提供用电保障经扩产后预计吸收800建档立卡贫困人口数就业。实现当地农户“出家门、进厂门”和“一人就业全家脱贫”的目标，同时提高就业人员的综合知识水平。发现的问题及原因：1、通过预算绩效管理，发现了工作中存在的不足，如前期资金使用因中标单位（如：评审、设计等公司）公司不在当地，在资金拨付过程中未能及时提供相关资料，导致了资金拨付滞缓，影响了项目资金的拨付进度；麦盖提县作为深度贫困县，工业落后，园区发展模式单一，园区企业普遍规模小，实力弱。入企业就业人员，特别是贫困人口就业人员，劳动技能差，知识水平低，普遍在初中以下，汉语水平低，造成劳动效率低；2、项目主管部门在年初设立绩效目标时，对项目的总体目标表述不太明确，未完全阐述清楚项目产生的具体效益。下一步改进措施：1、提前做好资金拨付计划，按照项目进度及时拨付资金，使资金使用效益最大化。建议加大政策倾斜力度，让南疆地区特别是工业基础薄弱，财政吃紧的县市，加大专项资金支持力度。补齐园区基础设施建设短板，筑巢引凤，对促我县经济的可持续发展和助力麦盖提县如期脱贫摘帽发挥重要的助推作用；2、提前做好资金拨付计划，按照项目进度及时拨付资金，使资金使用效益最大化。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dTotRk3lhcNcFqg+cFnZgA==" w:hash="S0TLgbo1CtnW5I9OG4wGVSoRKD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