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jc w:val="center"/>
        <w:rPr>
          <w:rFonts w:hint="eastAsia" w:ascii="方正小标宋_GBK" w:hAnsi="宋体" w:eastAsia="方正小标宋_GBK" w:cs="宋体"/>
          <w:sz w:val="44"/>
          <w:szCs w:val="44"/>
        </w:rPr>
      </w:pPr>
      <w:r>
        <w:rPr>
          <w:rFonts w:hint="eastAsia" w:ascii="方正小标宋_GBK" w:hAnsi="Arial" w:eastAsia="方正小标宋_GBK" w:cs="Arial"/>
          <w:sz w:val="44"/>
          <w:szCs w:val="44"/>
        </w:rPr>
        <w:t>新疆喀什地区中央</w:t>
      </w:r>
      <w:r>
        <w:rPr>
          <w:rFonts w:hint="eastAsia" w:ascii="方正小标宋_GBK" w:hAnsi="宋体" w:eastAsia="方正小标宋_GBK" w:cs="宋体"/>
          <w:sz w:val="44"/>
          <w:szCs w:val="44"/>
        </w:rPr>
        <w:t>专项转移支付</w:t>
      </w:r>
      <w:r>
        <w:rPr>
          <w:rFonts w:hint="eastAsia" w:ascii="方正小标宋_GBK" w:hAnsi="宋体" w:eastAsia="方正小标宋_GBK" w:cs="宋体"/>
          <w:sz w:val="44"/>
          <w:szCs w:val="44"/>
          <w:lang w:val="en-US" w:eastAsia="zh-CN"/>
        </w:rPr>
        <w:t>2019年度</w:t>
      </w:r>
      <w:r>
        <w:rPr>
          <w:rFonts w:hint="eastAsia" w:ascii="方正小标宋_GBK" w:hAnsi="宋体" w:eastAsia="方正小标宋_GBK" w:cs="宋体"/>
          <w:sz w:val="44"/>
          <w:szCs w:val="44"/>
        </w:rPr>
        <w:t>绩效自评报告</w:t>
      </w:r>
    </w:p>
    <w:p>
      <w:pPr>
        <w:spacing w:line="540" w:lineRule="exact"/>
        <w:jc w:val="center"/>
        <w:rPr>
          <w:rFonts w:hint="eastAsia" w:hAnsi="宋体" w:cs="宋体"/>
          <w:kern w:val="0"/>
          <w:sz w:val="36"/>
          <w:szCs w:val="36"/>
        </w:rPr>
      </w:pPr>
      <w:r>
        <w:rPr>
          <w:rFonts w:hint="eastAsia" w:hAnsi="宋体" w:cs="宋体"/>
          <w:kern w:val="0"/>
          <w:sz w:val="36"/>
          <w:szCs w:val="36"/>
        </w:rPr>
        <w:t>（</w:t>
      </w:r>
      <w:r>
        <w:rPr>
          <w:rFonts w:hint="eastAsia" w:hAnsi="宋体" w:cs="宋体"/>
          <w:kern w:val="0"/>
          <w:sz w:val="36"/>
          <w:szCs w:val="36"/>
          <w:lang w:val="en-US" w:eastAsia="zh-CN"/>
        </w:rPr>
        <w:t>2019</w:t>
      </w:r>
      <w:r>
        <w:rPr>
          <w:rFonts w:hint="eastAsia" w:hAnsi="宋体" w:cs="宋体"/>
          <w:kern w:val="0"/>
          <w:sz w:val="36"/>
          <w:szCs w:val="36"/>
        </w:rPr>
        <w:t>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both"/>
        <w:rPr>
          <w:rFonts w:hAnsi="宋体" w:cs="宋体"/>
          <w:kern w:val="0"/>
          <w:szCs w:val="30"/>
        </w:rPr>
      </w:pPr>
    </w:p>
    <w:p>
      <w:pPr>
        <w:spacing w:line="540" w:lineRule="exact"/>
        <w:rPr>
          <w:rFonts w:hAnsi="宋体" w:cs="宋体"/>
          <w:kern w:val="0"/>
          <w:szCs w:val="30"/>
        </w:rPr>
      </w:pPr>
    </w:p>
    <w:p>
      <w:pPr>
        <w:spacing w:line="700" w:lineRule="exact"/>
        <w:ind w:left="2880" w:hanging="2880" w:hangingChars="800"/>
        <w:jc w:val="left"/>
        <w:rPr>
          <w:rFonts w:hAnsi="宋体" w:cs="宋体"/>
          <w:kern w:val="0"/>
          <w:sz w:val="36"/>
          <w:szCs w:val="36"/>
        </w:rPr>
      </w:pPr>
      <w:r>
        <w:rPr>
          <w:rFonts w:hAnsi="宋体" w:cs="宋体"/>
          <w:kern w:val="0"/>
          <w:sz w:val="36"/>
          <w:szCs w:val="36"/>
        </w:rPr>
        <w:t xml:space="preserve">     </w:t>
      </w:r>
      <w:r>
        <w:rPr>
          <w:rFonts w:hint="eastAsia" w:hAnsi="宋体" w:cs="宋体"/>
          <w:kern w:val="0"/>
          <w:sz w:val="36"/>
          <w:szCs w:val="36"/>
        </w:rPr>
        <w:t>项目名称：</w:t>
      </w:r>
      <w:r>
        <w:rPr>
          <w:rFonts w:hint="eastAsia" w:hAnsi="宋体" w:eastAsia="仿宋_GB2312" w:cs="宋体"/>
          <w:kern w:val="0"/>
          <w:sz w:val="36"/>
          <w:szCs w:val="36"/>
          <w:lang w:eastAsia="zh-CN"/>
        </w:rPr>
        <w:t>叶尔羌河灌区</w:t>
      </w:r>
      <w:r>
        <w:rPr>
          <w:rFonts w:hint="eastAsia" w:hAnsi="宋体" w:eastAsia="仿宋_GB2312" w:cs="宋体"/>
          <w:kern w:val="0"/>
          <w:sz w:val="36"/>
          <w:szCs w:val="36"/>
        </w:rPr>
        <w:t>2019年麦盖提县</w:t>
      </w:r>
      <w:r>
        <w:rPr>
          <w:rFonts w:hint="eastAsia" w:hAnsi="宋体" w:eastAsia="仿宋_GB2312" w:cs="宋体"/>
          <w:kern w:val="0"/>
          <w:sz w:val="36"/>
          <w:szCs w:val="36"/>
          <w:lang w:eastAsia="zh-CN"/>
        </w:rPr>
        <w:t>骨工程节水改造</w:t>
      </w:r>
      <w:r>
        <w:rPr>
          <w:rFonts w:hint="eastAsia" w:hAnsi="宋体" w:eastAsia="仿宋_GB2312" w:cs="宋体"/>
          <w:kern w:val="0"/>
          <w:sz w:val="36"/>
          <w:szCs w:val="36"/>
        </w:rPr>
        <w:t>项目</w:t>
      </w:r>
    </w:p>
    <w:p>
      <w:pPr>
        <w:spacing w:line="700" w:lineRule="exact"/>
        <w:ind w:firstLine="720" w:firstLineChars="200"/>
        <w:jc w:val="left"/>
        <w:outlineLvl w:val="0"/>
        <w:rPr>
          <w:rFonts w:hint="eastAsia" w:hAnsi="宋体" w:eastAsia="仿宋_GB2312" w:cs="宋体"/>
          <w:kern w:val="0"/>
          <w:sz w:val="36"/>
          <w:szCs w:val="36"/>
          <w:lang w:eastAsia="zh-CN"/>
        </w:rPr>
      </w:pPr>
      <w:r>
        <w:rPr>
          <w:rFonts w:hAnsi="宋体" w:cs="宋体"/>
          <w:kern w:val="0"/>
          <w:sz w:val="36"/>
          <w:szCs w:val="36"/>
        </w:rPr>
        <w:t xml:space="preserve"> </w:t>
      </w:r>
      <w:r>
        <w:rPr>
          <w:rFonts w:hint="eastAsia" w:hAnsi="宋体" w:cs="宋体"/>
          <w:kern w:val="0"/>
          <w:sz w:val="36"/>
          <w:szCs w:val="36"/>
        </w:rPr>
        <w:t>实施单位（公章）：</w:t>
      </w:r>
      <w:r>
        <w:rPr>
          <w:rFonts w:hint="eastAsia" w:hAnsi="宋体" w:eastAsia="仿宋_GB2312" w:cs="宋体"/>
          <w:kern w:val="0"/>
          <w:sz w:val="36"/>
          <w:szCs w:val="36"/>
          <w:lang w:eastAsia="zh-CN"/>
        </w:rPr>
        <w:t>麦盖提县水务投资开发有限</w:t>
      </w:r>
    </w:p>
    <w:p>
      <w:pPr>
        <w:spacing w:line="700" w:lineRule="exact"/>
        <w:ind w:firstLine="3960" w:firstLineChars="1100"/>
        <w:jc w:val="left"/>
        <w:outlineLvl w:val="0"/>
        <w:rPr>
          <w:rFonts w:hint="eastAsia" w:hAnsi="宋体" w:eastAsia="仿宋_GB2312" w:cs="宋体"/>
          <w:kern w:val="0"/>
          <w:sz w:val="36"/>
          <w:szCs w:val="36"/>
          <w:lang w:eastAsia="zh-CN"/>
        </w:rPr>
      </w:pPr>
      <w:r>
        <w:rPr>
          <w:rFonts w:hint="eastAsia" w:hAnsi="宋体" w:eastAsia="仿宋_GB2312" w:cs="宋体"/>
          <w:kern w:val="0"/>
          <w:sz w:val="36"/>
          <w:szCs w:val="36"/>
          <w:lang w:eastAsia="zh-CN"/>
        </w:rPr>
        <w:t>公司</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cs="宋体"/>
          <w:kern w:val="0"/>
          <w:sz w:val="36"/>
          <w:szCs w:val="36"/>
        </w:rPr>
        <w:t>主管部门（公章）：</w:t>
      </w:r>
      <w:r>
        <w:rPr>
          <w:rFonts w:hint="eastAsia" w:hAnsi="宋体" w:cs="宋体"/>
          <w:kern w:val="0"/>
          <w:sz w:val="36"/>
          <w:szCs w:val="36"/>
          <w:lang w:eastAsia="zh-CN"/>
        </w:rPr>
        <w:t>麦盖提县水利局</w:t>
      </w:r>
    </w:p>
    <w:p>
      <w:pPr>
        <w:spacing w:line="700" w:lineRule="exact"/>
        <w:ind w:firstLine="849" w:firstLineChars="236"/>
        <w:jc w:val="left"/>
        <w:rPr>
          <w:rFonts w:hint="default" w:hAnsi="宋体" w:eastAsia="仿宋_GB2312" w:cs="宋体"/>
          <w:kern w:val="0"/>
          <w:sz w:val="36"/>
          <w:szCs w:val="36"/>
          <w:lang w:val="en-US" w:eastAsia="zh-CN"/>
        </w:rPr>
      </w:pPr>
      <w:r>
        <w:rPr>
          <w:rFonts w:hint="eastAsia" w:hAnsi="宋体" w:cs="宋体"/>
          <w:kern w:val="0"/>
          <w:sz w:val="36"/>
          <w:szCs w:val="36"/>
        </w:rPr>
        <w:t>项目负责人（签章）：</w:t>
      </w:r>
      <w:r>
        <w:rPr>
          <w:rFonts w:hint="eastAsia" w:hAnsi="宋体" w:cs="宋体"/>
          <w:kern w:val="0"/>
          <w:sz w:val="36"/>
          <w:szCs w:val="36"/>
          <w:lang w:eastAsia="zh-CN"/>
        </w:rPr>
        <w:t>张明</w:t>
      </w:r>
    </w:p>
    <w:p>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w:t>
      </w:r>
      <w:r>
        <w:rPr>
          <w:rFonts w:hint="eastAsia" w:hAnsi="宋体" w:cs="宋体"/>
          <w:kern w:val="0"/>
          <w:sz w:val="36"/>
          <w:szCs w:val="36"/>
          <w:lang w:val="en-US" w:eastAsia="zh-CN"/>
        </w:rPr>
        <w:t>2020</w:t>
      </w:r>
      <w:r>
        <w:rPr>
          <w:rFonts w:hint="eastAsia" w:hAnsi="宋体" w:cs="宋体"/>
          <w:kern w:val="0"/>
          <w:sz w:val="36"/>
          <w:szCs w:val="36"/>
        </w:rPr>
        <w:t>年</w:t>
      </w:r>
      <w:r>
        <w:rPr>
          <w:rFonts w:hint="eastAsia" w:hAnsi="宋体" w:cs="宋体"/>
          <w:kern w:val="0"/>
          <w:sz w:val="36"/>
          <w:szCs w:val="36"/>
          <w:lang w:val="en-US" w:eastAsia="zh-CN"/>
        </w:rPr>
        <w:t>1</w:t>
      </w:r>
      <w:r>
        <w:rPr>
          <w:rFonts w:hint="eastAsia" w:hAnsi="宋体" w:cs="宋体"/>
          <w:kern w:val="0"/>
          <w:sz w:val="36"/>
          <w:szCs w:val="36"/>
        </w:rPr>
        <w:t>月</w:t>
      </w:r>
      <w:r>
        <w:rPr>
          <w:rFonts w:hint="eastAsia" w:hAnsi="宋体" w:cs="宋体"/>
          <w:kern w:val="0"/>
          <w:sz w:val="36"/>
          <w:szCs w:val="36"/>
          <w:lang w:val="en-US" w:eastAsia="zh-CN"/>
        </w:rPr>
        <w:t>4</w:t>
      </w:r>
      <w:r>
        <w:rPr>
          <w:rFonts w:hint="eastAsia" w:hAnsi="宋体" w:cs="宋体"/>
          <w:kern w:val="0"/>
          <w:sz w:val="36"/>
          <w:szCs w:val="36"/>
        </w:rPr>
        <w:t>日</w:t>
      </w:r>
    </w:p>
    <w:p>
      <w:pPr>
        <w:numPr>
          <w:ilvl w:val="0"/>
          <w:numId w:val="0"/>
        </w:numPr>
        <w:tabs>
          <w:tab w:val="right" w:pos="7706"/>
        </w:tabs>
        <w:outlineLvl w:val="0"/>
        <w:rPr>
          <w:rFonts w:hint="eastAsia" w:ascii="黑体" w:hAnsi="黑体" w:eastAsia="黑体" w:cs="黑体"/>
          <w:bCs/>
          <w:szCs w:val="32"/>
        </w:rPr>
      </w:pPr>
      <w:r>
        <w:rPr>
          <w:rFonts w:hint="eastAsia" w:ascii="黑体" w:hAnsi="黑体" w:eastAsia="黑体" w:cs="黑体"/>
          <w:bCs/>
          <w:szCs w:val="32"/>
          <w:lang w:eastAsia="zh-CN"/>
        </w:rPr>
        <w:t>一、</w:t>
      </w:r>
      <w:r>
        <w:rPr>
          <w:rFonts w:hint="eastAsia" w:ascii="黑体" w:hAnsi="黑体" w:eastAsia="黑体" w:cs="黑体"/>
          <w:bCs/>
          <w:szCs w:val="32"/>
        </w:rPr>
        <w:t>绩效目标分解下达情况</w:t>
      </w:r>
    </w:p>
    <w:p>
      <w:pPr>
        <w:numPr>
          <w:ilvl w:val="0"/>
          <w:numId w:val="0"/>
        </w:numPr>
        <w:tabs>
          <w:tab w:val="right" w:pos="7706"/>
        </w:tabs>
        <w:ind w:firstLine="600" w:firstLineChars="200"/>
        <w:outlineLvl w:val="0"/>
        <w:rPr>
          <w:rFonts w:ascii="仿宋_GB2312"/>
          <w:szCs w:val="32"/>
        </w:rPr>
      </w:pPr>
      <w:r>
        <w:rPr>
          <w:rFonts w:hint="eastAsia" w:ascii="仿宋_GB2312"/>
          <w:szCs w:val="32"/>
        </w:rPr>
        <w:t>（一）中央下达专项转移支付预算和绩效目标情况。</w:t>
      </w:r>
      <w:r>
        <w:rPr>
          <w:rFonts w:ascii="仿宋_GB2312"/>
          <w:szCs w:val="32"/>
        </w:rPr>
        <w:tab/>
      </w:r>
    </w:p>
    <w:p>
      <w:pPr>
        <w:numPr>
          <w:ilvl w:val="0"/>
          <w:numId w:val="0"/>
        </w:numPr>
        <w:ind w:firstLine="600" w:firstLineChars="200"/>
        <w:outlineLvl w:val="0"/>
        <w:rPr>
          <w:rFonts w:hint="eastAsia" w:ascii="仿宋_GB2312"/>
          <w:szCs w:val="32"/>
          <w:lang w:val="en-US" w:eastAsia="zh-CN"/>
        </w:rPr>
      </w:pPr>
      <w:r>
        <w:rPr>
          <w:rFonts w:hint="eastAsia" w:ascii="仿宋_GB2312"/>
          <w:szCs w:val="32"/>
        </w:rPr>
        <w:t>根据</w:t>
      </w:r>
      <w:r>
        <w:rPr>
          <w:rFonts w:hint="eastAsia" w:ascii="仿宋_GB2312"/>
          <w:szCs w:val="32"/>
          <w:lang w:val="en-US" w:eastAsia="zh-CN"/>
        </w:rPr>
        <w:t>地区财政局《关于下达2019年重大水利工程（第一批）中央基建投资预算（拨款）的通知》（喀地财建[2019]年41号）、《关于下达2019年贫困地区公益性中央预算内水利投资项目地方配套资金的通知</w:t>
      </w:r>
      <w:r>
        <w:rPr>
          <w:rFonts w:hint="eastAsia" w:ascii="仿宋_GB2312"/>
          <w:szCs w:val="32"/>
        </w:rPr>
        <w:t>文件要求</w:t>
      </w:r>
      <w:r>
        <w:rPr>
          <w:rFonts w:hint="eastAsia" w:ascii="仿宋_GB2312"/>
          <w:szCs w:val="32"/>
          <w:lang w:val="en-US" w:eastAsia="zh-CN"/>
        </w:rPr>
        <w:t>》（新财农[2019]65号）。</w:t>
      </w:r>
      <w:r>
        <w:rPr>
          <w:rFonts w:hint="eastAsia" w:ascii="仿宋_GB2312"/>
          <w:szCs w:val="32"/>
        </w:rPr>
        <w:t>本项目资金</w:t>
      </w:r>
      <w:r>
        <w:rPr>
          <w:rFonts w:hint="eastAsia" w:ascii="仿宋_GB2312"/>
          <w:szCs w:val="32"/>
          <w:lang w:val="en-US" w:eastAsia="zh-CN"/>
        </w:rPr>
        <w:t>10222.97</w:t>
      </w:r>
      <w:r>
        <w:rPr>
          <w:rFonts w:hint="eastAsia" w:ascii="仿宋_GB2312"/>
          <w:szCs w:val="32"/>
        </w:rPr>
        <w:t>万元，其中财政资金</w:t>
      </w:r>
      <w:r>
        <w:rPr>
          <w:rFonts w:hint="eastAsia" w:ascii="仿宋_GB2312"/>
          <w:szCs w:val="32"/>
          <w:lang w:val="en-US" w:eastAsia="zh-CN"/>
        </w:rPr>
        <w:t>8103</w:t>
      </w:r>
      <w:r>
        <w:rPr>
          <w:rFonts w:hint="eastAsia" w:ascii="仿宋_GB2312"/>
          <w:szCs w:val="32"/>
        </w:rPr>
        <w:t>万元，其他资金</w:t>
      </w:r>
      <w:r>
        <w:rPr>
          <w:rFonts w:hint="eastAsia" w:ascii="仿宋_GB2312"/>
          <w:szCs w:val="32"/>
          <w:lang w:eastAsia="zh-CN"/>
        </w:rPr>
        <w:t>（</w:t>
      </w:r>
      <w:r>
        <w:rPr>
          <w:rFonts w:hint="eastAsia" w:ascii="仿宋_GB2312"/>
          <w:szCs w:val="32"/>
          <w:lang w:val="en-US" w:eastAsia="zh-CN"/>
        </w:rPr>
        <w:t>地债资金</w:t>
      </w:r>
      <w:r>
        <w:rPr>
          <w:rFonts w:hint="eastAsia" w:ascii="仿宋_GB2312"/>
          <w:szCs w:val="32"/>
          <w:lang w:eastAsia="zh-CN"/>
        </w:rPr>
        <w:t>）</w:t>
      </w:r>
      <w:r>
        <w:rPr>
          <w:rFonts w:hint="eastAsia" w:ascii="仿宋_GB2312"/>
          <w:szCs w:val="32"/>
          <w:lang w:val="en-US" w:eastAsia="zh-CN"/>
        </w:rPr>
        <w:t>2025</w:t>
      </w:r>
      <w:r>
        <w:rPr>
          <w:rFonts w:hint="eastAsia" w:ascii="仿宋_GB2312"/>
          <w:szCs w:val="32"/>
        </w:rPr>
        <w:t>万元，资金到位</w:t>
      </w:r>
      <w:r>
        <w:rPr>
          <w:rFonts w:hint="eastAsia" w:ascii="仿宋_GB2312"/>
          <w:szCs w:val="32"/>
          <w:lang w:val="en-US" w:eastAsia="zh-CN"/>
        </w:rPr>
        <w:t>10128</w:t>
      </w:r>
      <w:r>
        <w:rPr>
          <w:rFonts w:hint="eastAsia" w:ascii="仿宋_GB2312"/>
          <w:szCs w:val="32"/>
        </w:rPr>
        <w:t>万元；资金到位率</w:t>
      </w:r>
      <w:r>
        <w:rPr>
          <w:rFonts w:hint="eastAsia" w:ascii="仿宋_GB2312"/>
          <w:szCs w:val="32"/>
          <w:lang w:val="en-US" w:eastAsia="zh-CN"/>
        </w:rPr>
        <w:t>99</w:t>
      </w:r>
      <w:r>
        <w:rPr>
          <w:rFonts w:hint="eastAsia" w:ascii="仿宋_GB2312"/>
          <w:szCs w:val="32"/>
        </w:rPr>
        <w:t>%</w:t>
      </w:r>
      <w:r>
        <w:rPr>
          <w:rFonts w:hint="eastAsia" w:ascii="仿宋_GB2312"/>
          <w:szCs w:val="32"/>
          <w:lang w:eastAsia="zh-CN"/>
        </w:rPr>
        <w:t>。</w:t>
      </w:r>
      <w:r>
        <w:rPr>
          <w:rFonts w:hint="eastAsia" w:ascii="仿宋_GB2312"/>
          <w:szCs w:val="32"/>
          <w:lang w:val="en-US" w:eastAsia="zh-CN"/>
        </w:rPr>
        <w:t>县市自筹资金94.97万元未到位。</w:t>
      </w:r>
    </w:p>
    <w:p>
      <w:pPr>
        <w:numPr>
          <w:ilvl w:val="0"/>
          <w:numId w:val="1"/>
        </w:numPr>
        <w:ind w:firstLine="600" w:firstLineChars="200"/>
        <w:outlineLvl w:val="0"/>
        <w:rPr>
          <w:rFonts w:hint="eastAsia" w:ascii="仿宋_GB2312"/>
          <w:szCs w:val="32"/>
        </w:rPr>
      </w:pPr>
      <w:r>
        <w:rPr>
          <w:rFonts w:hint="eastAsia" w:ascii="仿宋_GB2312"/>
          <w:szCs w:val="32"/>
        </w:rPr>
        <w:t>自治区内分解下达预算和绩效目标情况。</w:t>
      </w:r>
    </w:p>
    <w:p>
      <w:pPr>
        <w:numPr>
          <w:ilvl w:val="0"/>
          <w:numId w:val="0"/>
        </w:numPr>
        <w:ind w:firstLine="600" w:firstLineChars="200"/>
        <w:outlineLvl w:val="0"/>
        <w:rPr>
          <w:rFonts w:hint="eastAsia" w:ascii="仿宋_GB2312"/>
          <w:szCs w:val="32"/>
          <w:lang w:val="en-US" w:eastAsia="zh-CN"/>
        </w:rPr>
      </w:pPr>
      <w:r>
        <w:rPr>
          <w:rFonts w:hint="eastAsia" w:ascii="仿宋_GB2312"/>
          <w:szCs w:val="32"/>
        </w:rPr>
        <w:t>根据</w:t>
      </w:r>
      <w:r>
        <w:rPr>
          <w:rFonts w:hint="eastAsia" w:ascii="仿宋_GB2312"/>
          <w:szCs w:val="32"/>
          <w:lang w:val="en-US" w:eastAsia="zh-CN"/>
        </w:rPr>
        <w:t>地区财政局《关于下达2019年重大水利工程（第一批）中央基建投资预算（拨款）的通知》（喀地财建[2019]年41号）、《关于下达2019年贫困地区公益性中央预算内水利投资项目地方配套资金的通知</w:t>
      </w:r>
      <w:r>
        <w:rPr>
          <w:rFonts w:hint="eastAsia" w:ascii="仿宋_GB2312"/>
          <w:szCs w:val="32"/>
        </w:rPr>
        <w:t>文件要求</w:t>
      </w:r>
      <w:r>
        <w:rPr>
          <w:rFonts w:hint="eastAsia" w:ascii="仿宋_GB2312"/>
          <w:szCs w:val="32"/>
          <w:lang w:val="en-US" w:eastAsia="zh-CN"/>
        </w:rPr>
        <w:t>》（新财农[2019]65号）。</w:t>
      </w:r>
      <w:r>
        <w:rPr>
          <w:rFonts w:hint="eastAsia" w:ascii="仿宋_GB2312"/>
          <w:szCs w:val="32"/>
        </w:rPr>
        <w:t>本项目资金</w:t>
      </w:r>
      <w:r>
        <w:rPr>
          <w:rFonts w:hint="eastAsia" w:ascii="仿宋_GB2312"/>
          <w:szCs w:val="32"/>
          <w:lang w:val="en-US" w:eastAsia="zh-CN"/>
        </w:rPr>
        <w:t>10222.97</w:t>
      </w:r>
      <w:r>
        <w:rPr>
          <w:rFonts w:hint="eastAsia" w:ascii="仿宋_GB2312"/>
          <w:szCs w:val="32"/>
        </w:rPr>
        <w:t>万元，其中财政资金</w:t>
      </w:r>
      <w:r>
        <w:rPr>
          <w:rFonts w:hint="eastAsia" w:ascii="仿宋_GB2312"/>
          <w:szCs w:val="32"/>
          <w:lang w:val="en-US" w:eastAsia="zh-CN"/>
        </w:rPr>
        <w:t>8103</w:t>
      </w:r>
      <w:r>
        <w:rPr>
          <w:rFonts w:hint="eastAsia" w:ascii="仿宋_GB2312"/>
          <w:szCs w:val="32"/>
        </w:rPr>
        <w:t>万元，其他资金</w:t>
      </w:r>
      <w:r>
        <w:rPr>
          <w:rFonts w:hint="eastAsia" w:ascii="仿宋_GB2312"/>
          <w:szCs w:val="32"/>
          <w:lang w:eastAsia="zh-CN"/>
        </w:rPr>
        <w:t>（</w:t>
      </w:r>
      <w:r>
        <w:rPr>
          <w:rFonts w:hint="eastAsia" w:ascii="仿宋_GB2312"/>
          <w:szCs w:val="32"/>
          <w:lang w:val="en-US" w:eastAsia="zh-CN"/>
        </w:rPr>
        <w:t>地债资金</w:t>
      </w:r>
      <w:r>
        <w:rPr>
          <w:rFonts w:hint="eastAsia" w:ascii="仿宋_GB2312"/>
          <w:szCs w:val="32"/>
          <w:lang w:eastAsia="zh-CN"/>
        </w:rPr>
        <w:t>）</w:t>
      </w:r>
      <w:r>
        <w:rPr>
          <w:rFonts w:hint="eastAsia" w:ascii="仿宋_GB2312"/>
          <w:szCs w:val="32"/>
          <w:lang w:val="en-US" w:eastAsia="zh-CN"/>
        </w:rPr>
        <w:t>2025</w:t>
      </w:r>
      <w:r>
        <w:rPr>
          <w:rFonts w:hint="eastAsia" w:ascii="仿宋_GB2312"/>
          <w:szCs w:val="32"/>
        </w:rPr>
        <w:t>万元，资金到位</w:t>
      </w:r>
      <w:r>
        <w:rPr>
          <w:rFonts w:hint="eastAsia" w:ascii="仿宋_GB2312"/>
          <w:szCs w:val="32"/>
          <w:lang w:val="en-US" w:eastAsia="zh-CN"/>
        </w:rPr>
        <w:t>10128</w:t>
      </w:r>
      <w:r>
        <w:rPr>
          <w:rFonts w:hint="eastAsia" w:ascii="仿宋_GB2312"/>
          <w:szCs w:val="32"/>
        </w:rPr>
        <w:t>万元；资金到位率</w:t>
      </w:r>
      <w:r>
        <w:rPr>
          <w:rFonts w:hint="eastAsia" w:ascii="仿宋_GB2312"/>
          <w:szCs w:val="32"/>
          <w:lang w:val="en-US" w:eastAsia="zh-CN"/>
        </w:rPr>
        <w:t>99</w:t>
      </w:r>
      <w:r>
        <w:rPr>
          <w:rFonts w:hint="eastAsia" w:ascii="仿宋_GB2312"/>
          <w:szCs w:val="32"/>
        </w:rPr>
        <w:t>%</w:t>
      </w:r>
      <w:r>
        <w:rPr>
          <w:rFonts w:hint="eastAsia" w:ascii="仿宋_GB2312"/>
          <w:szCs w:val="32"/>
          <w:lang w:eastAsia="zh-CN"/>
        </w:rPr>
        <w:t>。</w:t>
      </w:r>
      <w:r>
        <w:rPr>
          <w:rFonts w:hint="eastAsia" w:ascii="仿宋_GB2312"/>
          <w:szCs w:val="32"/>
          <w:lang w:val="en-US" w:eastAsia="zh-CN"/>
        </w:rPr>
        <w:t>县市自筹资金94.97万元未到位。</w:t>
      </w:r>
    </w:p>
    <w:p>
      <w:pPr>
        <w:numPr>
          <w:ilvl w:val="0"/>
          <w:numId w:val="0"/>
        </w:numPr>
        <w:ind w:leftChars="200"/>
        <w:rPr>
          <w:rFonts w:hint="eastAsia" w:ascii="黑体" w:hAnsi="黑体" w:eastAsia="黑体" w:cs="黑体"/>
          <w:bCs/>
          <w:szCs w:val="32"/>
        </w:rPr>
      </w:pPr>
      <w:r>
        <w:rPr>
          <w:rFonts w:hint="eastAsia" w:ascii="黑体" w:hAnsi="黑体" w:eastAsia="黑体" w:cs="黑体"/>
          <w:bCs/>
          <w:szCs w:val="32"/>
          <w:lang w:eastAsia="zh-CN"/>
        </w:rPr>
        <w:t>二、</w:t>
      </w:r>
      <w:r>
        <w:rPr>
          <w:rFonts w:hint="eastAsia" w:ascii="黑体" w:hAnsi="黑体" w:eastAsia="黑体" w:cs="黑体"/>
          <w:bCs/>
          <w:szCs w:val="32"/>
        </w:rPr>
        <w:t>绩效目标完成情况分析</w:t>
      </w:r>
    </w:p>
    <w:p>
      <w:pPr>
        <w:numPr>
          <w:ilvl w:val="0"/>
          <w:numId w:val="2"/>
        </w:numPr>
        <w:spacing w:line="540" w:lineRule="exact"/>
        <w:ind w:firstLine="602" w:firstLineChars="200"/>
        <w:rPr>
          <w:rFonts w:hint="eastAsia" w:ascii="仿宋_GB2312"/>
          <w:szCs w:val="32"/>
        </w:rPr>
      </w:pPr>
      <w:r>
        <w:rPr>
          <w:rFonts w:hint="eastAsia" w:ascii="仿宋_GB2312"/>
          <w:b/>
          <w:bCs/>
          <w:szCs w:val="32"/>
        </w:rPr>
        <w:t>资金投入情况分析</w:t>
      </w:r>
      <w:r>
        <w:rPr>
          <w:rFonts w:hint="eastAsia" w:ascii="仿宋_GB2312"/>
          <w:szCs w:val="32"/>
        </w:rPr>
        <w:t>。</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1.项目资金到位情况分析。</w:t>
      </w:r>
    </w:p>
    <w:p>
      <w:pPr>
        <w:numPr>
          <w:ilvl w:val="0"/>
          <w:numId w:val="0"/>
        </w:numPr>
        <w:ind w:firstLine="600" w:firstLineChars="200"/>
        <w:outlineLvl w:val="0"/>
        <w:rPr>
          <w:rFonts w:hint="eastAsia" w:ascii="仿宋_GB2312"/>
          <w:szCs w:val="32"/>
          <w:lang w:val="en-US" w:eastAsia="zh-CN"/>
        </w:rPr>
      </w:pPr>
      <w:r>
        <w:rPr>
          <w:rFonts w:hint="eastAsia" w:ascii="仿宋_GB2312"/>
          <w:szCs w:val="32"/>
        </w:rPr>
        <w:t>根据</w:t>
      </w:r>
      <w:r>
        <w:rPr>
          <w:rFonts w:hint="eastAsia" w:ascii="仿宋_GB2312"/>
          <w:szCs w:val="32"/>
          <w:lang w:val="en-US" w:eastAsia="zh-CN"/>
        </w:rPr>
        <w:t>地区财政局《关于下达2019年重大水利工程（第一批）中央基建投资预算（拨款）的通知》（喀地财建[2019]年41号）、《关于下达2019年贫困地区公益性中央预算内水利投资项目地方配套资金的通知</w:t>
      </w:r>
      <w:r>
        <w:rPr>
          <w:rFonts w:hint="eastAsia" w:ascii="仿宋_GB2312"/>
          <w:szCs w:val="32"/>
        </w:rPr>
        <w:t>文件要求</w:t>
      </w:r>
      <w:r>
        <w:rPr>
          <w:rFonts w:hint="eastAsia" w:ascii="仿宋_GB2312"/>
          <w:szCs w:val="32"/>
          <w:lang w:val="en-US" w:eastAsia="zh-CN"/>
        </w:rPr>
        <w:t>》（新财农[2019]65号）。</w:t>
      </w:r>
      <w:r>
        <w:rPr>
          <w:rFonts w:hint="eastAsia" w:ascii="仿宋_GB2312"/>
          <w:szCs w:val="32"/>
        </w:rPr>
        <w:t>本项目资金</w:t>
      </w:r>
      <w:r>
        <w:rPr>
          <w:rFonts w:hint="eastAsia" w:ascii="仿宋_GB2312"/>
          <w:szCs w:val="32"/>
          <w:lang w:val="en-US" w:eastAsia="zh-CN"/>
        </w:rPr>
        <w:t>10222.97</w:t>
      </w:r>
      <w:r>
        <w:rPr>
          <w:rFonts w:hint="eastAsia" w:ascii="仿宋_GB2312"/>
          <w:szCs w:val="32"/>
        </w:rPr>
        <w:t>万元，其中财政资金</w:t>
      </w:r>
      <w:r>
        <w:rPr>
          <w:rFonts w:hint="eastAsia" w:ascii="仿宋_GB2312"/>
          <w:szCs w:val="32"/>
          <w:lang w:val="en-US" w:eastAsia="zh-CN"/>
        </w:rPr>
        <w:t>8103</w:t>
      </w:r>
      <w:r>
        <w:rPr>
          <w:rFonts w:hint="eastAsia" w:ascii="仿宋_GB2312"/>
          <w:szCs w:val="32"/>
        </w:rPr>
        <w:t>万元，其他资金</w:t>
      </w:r>
      <w:r>
        <w:rPr>
          <w:rFonts w:hint="eastAsia" w:ascii="仿宋_GB2312"/>
          <w:szCs w:val="32"/>
          <w:lang w:eastAsia="zh-CN"/>
        </w:rPr>
        <w:t>（</w:t>
      </w:r>
      <w:r>
        <w:rPr>
          <w:rFonts w:hint="eastAsia" w:ascii="仿宋_GB2312"/>
          <w:szCs w:val="32"/>
          <w:lang w:val="en-US" w:eastAsia="zh-CN"/>
        </w:rPr>
        <w:t>地债资金</w:t>
      </w:r>
      <w:r>
        <w:rPr>
          <w:rFonts w:hint="eastAsia" w:ascii="仿宋_GB2312"/>
          <w:szCs w:val="32"/>
          <w:lang w:eastAsia="zh-CN"/>
        </w:rPr>
        <w:t>）</w:t>
      </w:r>
      <w:r>
        <w:rPr>
          <w:rFonts w:hint="eastAsia" w:ascii="仿宋_GB2312"/>
          <w:szCs w:val="32"/>
          <w:lang w:val="en-US" w:eastAsia="zh-CN"/>
        </w:rPr>
        <w:t>2025</w:t>
      </w:r>
      <w:r>
        <w:rPr>
          <w:rFonts w:hint="eastAsia" w:ascii="仿宋_GB2312"/>
          <w:szCs w:val="32"/>
        </w:rPr>
        <w:t>万元，资金到位</w:t>
      </w:r>
      <w:r>
        <w:rPr>
          <w:rFonts w:hint="eastAsia" w:ascii="仿宋_GB2312"/>
          <w:szCs w:val="32"/>
          <w:lang w:val="en-US" w:eastAsia="zh-CN"/>
        </w:rPr>
        <w:t>10128</w:t>
      </w:r>
      <w:r>
        <w:rPr>
          <w:rFonts w:hint="eastAsia" w:ascii="仿宋_GB2312"/>
          <w:szCs w:val="32"/>
        </w:rPr>
        <w:t>万元；资金到位率</w:t>
      </w:r>
      <w:r>
        <w:rPr>
          <w:rFonts w:hint="eastAsia" w:ascii="仿宋_GB2312"/>
          <w:szCs w:val="32"/>
          <w:lang w:val="en-US" w:eastAsia="zh-CN"/>
        </w:rPr>
        <w:t>99</w:t>
      </w:r>
      <w:r>
        <w:rPr>
          <w:rFonts w:hint="eastAsia" w:ascii="仿宋_GB2312"/>
          <w:szCs w:val="32"/>
        </w:rPr>
        <w:t>%</w:t>
      </w:r>
      <w:r>
        <w:rPr>
          <w:rFonts w:hint="eastAsia" w:ascii="仿宋_GB2312"/>
          <w:szCs w:val="32"/>
          <w:lang w:eastAsia="zh-CN"/>
        </w:rPr>
        <w:t>。</w:t>
      </w:r>
      <w:r>
        <w:rPr>
          <w:rFonts w:hint="eastAsia" w:ascii="仿宋_GB2312"/>
          <w:szCs w:val="32"/>
          <w:lang w:val="en-US" w:eastAsia="zh-CN"/>
        </w:rPr>
        <w:t>县市自筹资金94.97万元未到位。</w:t>
      </w:r>
    </w:p>
    <w:p>
      <w:pPr>
        <w:numPr>
          <w:ilvl w:val="0"/>
          <w:numId w:val="0"/>
        </w:numPr>
        <w:ind w:firstLine="602" w:firstLineChars="200"/>
        <w:rPr>
          <w:rFonts w:hint="eastAsia"/>
        </w:rPr>
      </w:pPr>
      <w:r>
        <w:rPr>
          <w:rFonts w:hint="eastAsia" w:ascii="仿宋_GB2312" w:hAnsi="仿宋_GB2312" w:cs="仿宋_GB2312"/>
          <w:b/>
          <w:bCs w:val="0"/>
          <w:color w:val="000000"/>
          <w:lang w:val="en-US" w:eastAsia="zh-CN"/>
        </w:rPr>
        <w:t>（二）、</w:t>
      </w:r>
      <w:r>
        <w:rPr>
          <w:rFonts w:hint="eastAsia" w:ascii="仿宋_GB2312"/>
          <w:b/>
          <w:bCs w:val="0"/>
          <w:szCs w:val="32"/>
        </w:rPr>
        <w:t>项目资金执行情况分析</w:t>
      </w:r>
      <w:r>
        <w:rPr>
          <w:rFonts w:hint="eastAsia" w:ascii="仿宋_GB2312"/>
          <w:szCs w:val="32"/>
        </w:rPr>
        <w:t>。</w:t>
      </w:r>
    </w:p>
    <w:p>
      <w:pPr>
        <w:spacing w:line="540" w:lineRule="exact"/>
        <w:ind w:firstLine="600" w:firstLineChars="200"/>
        <w:rPr>
          <w:rFonts w:hint="eastAsia" w:ascii="仿宋_GB2312"/>
          <w:szCs w:val="32"/>
        </w:rPr>
      </w:pPr>
      <w:r>
        <w:rPr>
          <w:rFonts w:hint="eastAsia" w:ascii="仿宋_GB2312"/>
          <w:szCs w:val="32"/>
        </w:rPr>
        <w:t>根据</w:t>
      </w:r>
      <w:r>
        <w:rPr>
          <w:rFonts w:hint="eastAsia" w:ascii="仿宋_GB2312"/>
          <w:szCs w:val="32"/>
          <w:lang w:val="en-US" w:eastAsia="zh-CN"/>
        </w:rPr>
        <w:t>地区财政局《关于下达2019年重大水利工程（第一批）中央基建投资预算（拨款）的通知》（喀地财建[2019]年41号）、《关于下达2019年贫困地区公益性中央预算内水利投资项目地方配套资金的通知</w:t>
      </w:r>
      <w:r>
        <w:rPr>
          <w:rFonts w:hint="eastAsia" w:ascii="仿宋_GB2312"/>
          <w:szCs w:val="32"/>
        </w:rPr>
        <w:t>文件要求</w:t>
      </w:r>
      <w:r>
        <w:rPr>
          <w:rFonts w:hint="eastAsia" w:ascii="仿宋_GB2312"/>
          <w:szCs w:val="32"/>
          <w:lang w:val="en-US" w:eastAsia="zh-CN"/>
        </w:rPr>
        <w:t>》（新财农[2019]65号）。</w:t>
      </w:r>
      <w:r>
        <w:rPr>
          <w:rFonts w:hint="eastAsia" w:ascii="仿宋_GB2312"/>
          <w:szCs w:val="32"/>
        </w:rPr>
        <w:t>本项目总资金</w:t>
      </w:r>
      <w:r>
        <w:rPr>
          <w:rFonts w:hint="eastAsia" w:ascii="仿宋_GB2312"/>
          <w:szCs w:val="32"/>
          <w:lang w:val="en-US" w:eastAsia="zh-CN"/>
        </w:rPr>
        <w:t>10222.97</w:t>
      </w:r>
      <w:r>
        <w:rPr>
          <w:rFonts w:hint="eastAsia" w:ascii="仿宋_GB2312"/>
          <w:szCs w:val="32"/>
        </w:rPr>
        <w:t>万元，实际支付资金8682.62万元，预算执行率</w:t>
      </w:r>
      <w:r>
        <w:rPr>
          <w:rFonts w:hint="eastAsia" w:ascii="仿宋_GB2312"/>
          <w:szCs w:val="32"/>
          <w:lang w:val="en-US" w:eastAsia="zh-CN"/>
        </w:rPr>
        <w:t>85</w:t>
      </w:r>
      <w:r>
        <w:rPr>
          <w:rFonts w:hint="eastAsia" w:ascii="仿宋_GB2312"/>
          <w:szCs w:val="32"/>
        </w:rPr>
        <w:t>%（</w:t>
      </w:r>
      <w:r>
        <w:rPr>
          <w:rFonts w:hint="eastAsia" w:ascii="仿宋_GB2312"/>
          <w:szCs w:val="32"/>
          <w:lang w:val="en-US" w:eastAsia="zh-CN"/>
        </w:rPr>
        <w:t>未达到合同支付条件</w:t>
      </w:r>
      <w:r>
        <w:rPr>
          <w:rFonts w:hint="eastAsia" w:ascii="仿宋_GB2312"/>
          <w:szCs w:val="32"/>
        </w:rPr>
        <w:t>）。项目资金主要用于支付</w:t>
      </w:r>
      <w:r>
        <w:rPr>
          <w:rFonts w:hint="eastAsia" w:ascii="仿宋_GB2312"/>
          <w:szCs w:val="32"/>
          <w:lang w:val="en-US" w:eastAsia="zh-CN"/>
        </w:rPr>
        <w:t>建筑安装工程</w:t>
      </w:r>
      <w:r>
        <w:rPr>
          <w:rFonts w:hint="eastAsia" w:ascii="仿宋_GB2312"/>
          <w:szCs w:val="32"/>
        </w:rPr>
        <w:t>费用</w:t>
      </w:r>
      <w:r>
        <w:rPr>
          <w:rFonts w:hint="eastAsia" w:ascii="仿宋_GB2312"/>
          <w:szCs w:val="32"/>
          <w:lang w:val="en-US" w:eastAsia="zh-CN"/>
        </w:rPr>
        <w:t>8094.28</w:t>
      </w:r>
      <w:r>
        <w:rPr>
          <w:rFonts w:hint="eastAsia" w:ascii="仿宋_GB2312"/>
          <w:szCs w:val="32"/>
        </w:rPr>
        <w:t>万元、</w:t>
      </w:r>
      <w:r>
        <w:rPr>
          <w:rFonts w:hint="eastAsia" w:ascii="仿宋_GB2312"/>
          <w:szCs w:val="32"/>
          <w:lang w:val="en-US" w:eastAsia="zh-CN"/>
        </w:rPr>
        <w:t>待摊费用</w:t>
      </w:r>
      <w:r>
        <w:rPr>
          <w:rFonts w:hint="eastAsia" w:ascii="仿宋_GB2312"/>
          <w:szCs w:val="32"/>
        </w:rPr>
        <w:t>费用支付</w:t>
      </w:r>
      <w:r>
        <w:rPr>
          <w:rFonts w:hint="eastAsia" w:ascii="仿宋_GB2312"/>
          <w:szCs w:val="32"/>
          <w:lang w:val="en-US" w:eastAsia="zh-CN"/>
        </w:rPr>
        <w:t>588.34</w:t>
      </w:r>
      <w:r>
        <w:rPr>
          <w:rFonts w:hint="eastAsia" w:ascii="仿宋_GB2312"/>
          <w:szCs w:val="32"/>
        </w:rPr>
        <w:t>万元，结余</w:t>
      </w:r>
      <w:r>
        <w:rPr>
          <w:rFonts w:hint="eastAsia" w:ascii="仿宋_GB2312"/>
          <w:szCs w:val="32"/>
          <w:lang w:val="en-US" w:eastAsia="zh-CN"/>
        </w:rPr>
        <w:t>1540.35</w:t>
      </w:r>
      <w:r>
        <w:rPr>
          <w:rFonts w:hint="eastAsia" w:ascii="仿宋_GB2312"/>
          <w:szCs w:val="32"/>
        </w:rPr>
        <w:t>万元。</w:t>
      </w:r>
    </w:p>
    <w:p>
      <w:pPr>
        <w:spacing w:line="540" w:lineRule="exact"/>
        <w:ind w:firstLine="602" w:firstLineChars="200"/>
        <w:rPr>
          <w:rFonts w:hint="eastAsia" w:ascii="仿宋_GB2312" w:hAnsi="仿宋_GB2312" w:eastAsia="仿宋_GB2312" w:cs="仿宋_GB2312"/>
          <w:bCs/>
          <w:color w:val="000000"/>
          <w:lang w:eastAsia="zh-CN"/>
        </w:rPr>
      </w:pPr>
      <w:r>
        <w:rPr>
          <w:rFonts w:hint="eastAsia" w:ascii="仿宋_GB2312" w:hAnsi="仿宋_GB2312" w:cs="仿宋_GB2312"/>
          <w:b/>
          <w:bCs w:val="0"/>
          <w:color w:val="000000"/>
          <w:lang w:eastAsia="zh-CN"/>
        </w:rPr>
        <w:t>（三）、</w:t>
      </w:r>
      <w:r>
        <w:rPr>
          <w:rFonts w:hint="eastAsia" w:ascii="仿宋_GB2312" w:hAnsi="仿宋_GB2312" w:eastAsia="仿宋_GB2312" w:cs="仿宋_GB2312"/>
          <w:b/>
          <w:bCs w:val="0"/>
          <w:color w:val="000000"/>
          <w:lang w:eastAsia="zh-CN"/>
        </w:rPr>
        <w:t>项目资金管理情况分析</w:t>
      </w:r>
      <w:r>
        <w:rPr>
          <w:rFonts w:hint="eastAsia" w:ascii="仿宋_GB2312" w:hAnsi="仿宋_GB2312" w:eastAsia="仿宋_GB2312" w:cs="仿宋_GB2312"/>
          <w:bCs/>
          <w:color w:val="000000"/>
          <w:lang w:eastAsia="zh-CN"/>
        </w:rPr>
        <w:t>。</w:t>
      </w:r>
    </w:p>
    <w:p>
      <w:pPr>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本项目资金严格按照专项资金管理办法和财政资金管理制度支付资金；资金支付由分管领导、主管财务领导、财政局等各级部门审批审核；资金的支付有完整的审批程序和手续符合制度要求；不存在截留、挤占、挪用、虚列支出等情况。</w:t>
      </w:r>
    </w:p>
    <w:p>
      <w:pPr>
        <w:numPr>
          <w:ilvl w:val="0"/>
          <w:numId w:val="0"/>
        </w:numPr>
        <w:ind w:leftChars="200"/>
        <w:rPr>
          <w:rFonts w:hint="eastAsia" w:ascii="黑体" w:hAnsi="黑体" w:eastAsia="黑体" w:cs="黑体"/>
          <w:bCs/>
          <w:szCs w:val="32"/>
        </w:rPr>
      </w:pPr>
      <w:r>
        <w:rPr>
          <w:rFonts w:hint="eastAsia" w:ascii="黑体" w:hAnsi="黑体" w:eastAsia="黑体" w:cs="黑体"/>
          <w:bCs/>
          <w:szCs w:val="32"/>
          <w:lang w:eastAsia="zh-CN"/>
        </w:rPr>
        <w:t>三、</w:t>
      </w:r>
      <w:r>
        <w:rPr>
          <w:rFonts w:hint="eastAsia" w:ascii="黑体" w:hAnsi="黑体" w:eastAsia="黑体" w:cs="黑体"/>
          <w:bCs/>
          <w:szCs w:val="32"/>
        </w:rPr>
        <w:t>绩效目标完成情况分析。</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1.产出指标完成情况分析。</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（1）数量指标。</w:t>
      </w:r>
    </w:p>
    <w:p>
      <w:pPr>
        <w:spacing w:line="540" w:lineRule="exact"/>
        <w:ind w:firstLine="624" w:firstLineChars="200"/>
        <w:rPr>
          <w:rFonts w:hint="eastAsia" w:ascii="仿宋_GB2312" w:hAnsi="仿宋_GB2312" w:cs="仿宋_GB2312"/>
          <w:bCs/>
          <w:color w:val="000000"/>
          <w:lang w:val="en-US" w:eastAsia="zh-CN"/>
        </w:rPr>
      </w:pPr>
      <w:r>
        <w:rPr>
          <w:rStyle w:val="4"/>
          <w:rFonts w:hint="eastAsia" w:ascii="仿宋_GB2312" w:hAnsi="仿宋"/>
          <w:b w:val="0"/>
          <w:spacing w:val="-4"/>
          <w:sz w:val="32"/>
          <w:szCs w:val="32"/>
          <w:highlight w:val="none"/>
          <w:lang w:eastAsia="zh-CN"/>
        </w:rPr>
        <w:t>渠道防渗</w:t>
      </w:r>
      <w:r>
        <w:rPr>
          <w:rStyle w:val="4"/>
          <w:rFonts w:hint="eastAsia" w:ascii="仿宋_GB2312" w:hAnsi="仿宋"/>
          <w:b w:val="0"/>
          <w:spacing w:val="-4"/>
          <w:sz w:val="32"/>
          <w:szCs w:val="32"/>
          <w:highlight w:val="none"/>
          <w:lang w:val="en-US" w:eastAsia="zh-CN"/>
        </w:rPr>
        <w:t>51.145</w:t>
      </w:r>
      <w:r>
        <w:rPr>
          <w:rStyle w:val="4"/>
          <w:rFonts w:hint="eastAsia" w:ascii="仿宋_GB2312" w:hAnsi="仿宋" w:eastAsia="仿宋_GB2312"/>
          <w:b w:val="0"/>
          <w:spacing w:val="-4"/>
          <w:sz w:val="32"/>
          <w:szCs w:val="32"/>
          <w:highlight w:val="none"/>
          <w:lang w:val="en-US" w:eastAsia="zh-CN"/>
        </w:rPr>
        <w:t>公里</w:t>
      </w:r>
      <w:r>
        <w:rPr>
          <w:rStyle w:val="4"/>
          <w:rFonts w:hint="eastAsia" w:ascii="仿宋_GB2312" w:hAnsi="仿宋" w:eastAsia="仿宋_GB2312"/>
          <w:b w:val="0"/>
          <w:spacing w:val="-4"/>
          <w:sz w:val="32"/>
          <w:szCs w:val="32"/>
          <w:highlight w:val="none"/>
        </w:rPr>
        <w:t>，</w:t>
      </w:r>
      <w:r>
        <w:rPr>
          <w:rStyle w:val="4"/>
          <w:rFonts w:hint="eastAsia" w:ascii="仿宋_GB2312" w:hAnsi="仿宋" w:eastAsia="仿宋_GB2312"/>
          <w:b w:val="0"/>
          <w:spacing w:val="-4"/>
          <w:sz w:val="32"/>
          <w:szCs w:val="32"/>
          <w:highlight w:val="none"/>
          <w:lang w:eastAsia="zh-CN"/>
        </w:rPr>
        <w:t>配套渠系建筑物288座</w:t>
      </w:r>
      <w:r>
        <w:rPr>
          <w:rFonts w:hint="eastAsia" w:ascii="仿宋_GB2312" w:hAnsi="仿宋_GB2312" w:cs="仿宋_GB2312"/>
          <w:bCs/>
          <w:color w:val="000000"/>
          <w:lang w:val="en-US" w:eastAsia="zh-CN"/>
        </w:rPr>
        <w:t>。</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（2）质量指标。</w:t>
      </w:r>
    </w:p>
    <w:p>
      <w:pPr>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rPr>
          <w:rStyle w:val="4"/>
          <w:rFonts w:ascii="仿宋_GB2312" w:hAnsi="仿宋" w:eastAsia="仿宋_GB2312"/>
          <w:b w:val="0"/>
          <w:spacing w:val="-4"/>
          <w:sz w:val="32"/>
          <w:szCs w:val="32"/>
          <w:highlight w:val="none"/>
        </w:rPr>
      </w:pPr>
      <w:r>
        <w:rPr>
          <w:rStyle w:val="4"/>
          <w:rFonts w:hint="eastAsia" w:ascii="仿宋_GB2312" w:hAnsi="仿宋" w:eastAsia="仿宋_GB2312"/>
          <w:b w:val="0"/>
          <w:spacing w:val="-4"/>
          <w:sz w:val="32"/>
          <w:szCs w:val="32"/>
          <w:highlight w:val="none"/>
        </w:rPr>
        <w:t>项目经专业部门验收，质量指标验收合格率100%。</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（3）时效指标。</w:t>
      </w:r>
    </w:p>
    <w:p>
      <w:pPr>
        <w:spacing w:line="540" w:lineRule="exact"/>
        <w:ind w:firstLine="600" w:firstLineChars="200"/>
        <w:rPr>
          <w:rFonts w:hint="default" w:ascii="仿宋_GB2312" w:hAnsi="仿宋_GB2312" w:eastAsia="仿宋_GB2312" w:cs="仿宋_GB2312"/>
          <w:bCs/>
          <w:color w:val="000000"/>
          <w:lang w:val="en-US" w:eastAsia="zh-CN"/>
        </w:rPr>
      </w:pPr>
      <w:r>
        <w:rPr>
          <w:rFonts w:hint="eastAsia" w:ascii="仿宋_GB2312" w:hAnsi="仿宋_GB2312" w:cs="仿宋_GB2312"/>
          <w:bCs/>
          <w:color w:val="000000"/>
          <w:lang w:eastAsia="zh-CN"/>
        </w:rPr>
        <w:t>项目在</w:t>
      </w:r>
      <w:r>
        <w:rPr>
          <w:rFonts w:hint="eastAsia" w:ascii="仿宋_GB2312" w:hAnsi="仿宋_GB2312" w:cs="仿宋_GB2312"/>
          <w:bCs/>
          <w:color w:val="000000"/>
          <w:lang w:val="en-US" w:eastAsia="zh-CN"/>
        </w:rPr>
        <w:t>2019年10月底完成。</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（4）成本指标。</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cs="仿宋_GB2312"/>
          <w:bCs/>
          <w:color w:val="000000"/>
          <w:lang w:eastAsia="zh-CN"/>
        </w:rPr>
        <w:t>无。</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2.效益指标完成情况分析。</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（1）经济效益。</w:t>
      </w:r>
    </w:p>
    <w:p>
      <w:pPr>
        <w:keepNext w:val="0"/>
        <w:keepLines w:val="0"/>
        <w:pageBreakBefore w:val="0"/>
        <w:widowControl w:val="0"/>
        <w:kinsoku/>
        <w:wordWrap/>
        <w:overflowPunct/>
        <w:topLinePunct w:val="0"/>
        <w:autoSpaceDE/>
        <w:autoSpaceDN/>
        <w:bidi w:val="0"/>
        <w:adjustRightInd/>
        <w:snapToGrid/>
        <w:spacing w:line="360" w:lineRule="auto"/>
        <w:ind w:firstLine="624" w:firstLineChars="200"/>
        <w:textAlignment w:val="auto"/>
        <w:outlineLvl w:val="0"/>
        <w:rPr>
          <w:rFonts w:hint="eastAsia" w:ascii="仿宋_GB2312" w:hAnsi="仿宋_GB2312" w:eastAsia="仿宋_GB2312" w:cs="仿宋_GB2312"/>
          <w:bCs/>
          <w:color w:val="000000"/>
          <w:lang w:eastAsia="zh-CN"/>
        </w:rPr>
      </w:pPr>
      <w:r>
        <w:rPr>
          <w:rFonts w:hint="eastAsia" w:ascii="仿宋_GB2312"/>
          <w:spacing w:val="-4"/>
          <w:sz w:val="32"/>
          <w:szCs w:val="32"/>
          <w:highlight w:val="none"/>
          <w:lang w:eastAsia="zh-CN"/>
        </w:rPr>
        <w:t>该项目实施完毕后，</w:t>
      </w:r>
      <w:r>
        <w:rPr>
          <w:rFonts w:hint="eastAsia" w:ascii="仿宋_GB2312"/>
          <w:spacing w:val="-4"/>
          <w:sz w:val="32"/>
          <w:szCs w:val="32"/>
          <w:highlight w:val="none"/>
          <w:lang w:val="en-US" w:eastAsia="zh-CN"/>
        </w:rPr>
        <w:t>促进当地群众增产增收。</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（2）社会效益。</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cs="仿宋_GB2312"/>
          <w:bCs/>
          <w:color w:val="000000"/>
          <w:lang w:eastAsia="zh-CN"/>
        </w:rPr>
        <w:t>项目实施后可改善灌溉面积</w:t>
      </w:r>
      <w:r>
        <w:rPr>
          <w:rFonts w:hint="eastAsia" w:ascii="仿宋_GB2312" w:hAnsi="仿宋_GB2312" w:cs="仿宋_GB2312"/>
          <w:bCs/>
          <w:color w:val="000000"/>
          <w:lang w:val="en-US" w:eastAsia="zh-CN"/>
        </w:rPr>
        <w:t>28.97万亩，年节水量5909.39万方</w:t>
      </w:r>
      <w:r>
        <w:rPr>
          <w:rFonts w:hint="eastAsia" w:ascii="仿宋_GB2312" w:hAnsi="仿宋_GB2312" w:cs="仿宋_GB2312"/>
          <w:bCs/>
          <w:color w:val="000000"/>
          <w:lang w:eastAsia="zh-CN"/>
        </w:rPr>
        <w:t>。</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（3）生态效益。</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cs="仿宋_GB2312"/>
          <w:bCs/>
          <w:color w:val="000000"/>
          <w:lang w:eastAsia="zh-CN"/>
        </w:rPr>
        <w:t>提高渠道灌溉水利用系数，改善生态环境，促进人与自然和谐发展。</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（4）可持续影响。</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cs="仿宋_GB2312"/>
          <w:bCs/>
          <w:color w:val="000000"/>
          <w:lang w:eastAsia="zh-CN"/>
        </w:rPr>
        <w:t>项目设计使用年限</w:t>
      </w:r>
      <w:r>
        <w:rPr>
          <w:rFonts w:hint="eastAsia" w:ascii="仿宋_GB2312" w:hAnsi="仿宋_GB2312" w:cs="仿宋_GB2312"/>
          <w:bCs/>
          <w:color w:val="000000"/>
          <w:lang w:val="en-US" w:eastAsia="zh-CN"/>
        </w:rPr>
        <w:t>30年</w:t>
      </w:r>
      <w:r>
        <w:rPr>
          <w:rFonts w:hint="eastAsia" w:ascii="仿宋_GB2312" w:hAnsi="仿宋_GB2312" w:cs="仿宋_GB2312"/>
          <w:bCs/>
          <w:color w:val="000000"/>
          <w:lang w:eastAsia="zh-CN"/>
        </w:rPr>
        <w:t>，可持续</w:t>
      </w:r>
      <w:r>
        <w:rPr>
          <w:rFonts w:hint="eastAsia" w:ascii="仿宋_GB2312" w:hAnsi="仿宋_GB2312" w:eastAsia="仿宋_GB2312" w:cs="仿宋_GB2312"/>
          <w:bCs/>
          <w:color w:val="000000"/>
          <w:lang w:eastAsia="zh-CN"/>
        </w:rPr>
        <w:t>为</w:t>
      </w:r>
      <w:r>
        <w:rPr>
          <w:rFonts w:hint="eastAsia" w:ascii="仿宋_GB2312" w:hAnsi="仿宋_GB2312" w:cs="仿宋_GB2312"/>
          <w:bCs/>
          <w:color w:val="000000"/>
          <w:lang w:eastAsia="zh-CN"/>
        </w:rPr>
        <w:t>我县社会</w:t>
      </w:r>
      <w:r>
        <w:rPr>
          <w:rFonts w:hint="eastAsia" w:ascii="仿宋_GB2312" w:hAnsi="仿宋_GB2312" w:eastAsia="仿宋_GB2312" w:cs="仿宋_GB2312"/>
          <w:bCs/>
          <w:color w:val="000000"/>
          <w:lang w:eastAsia="zh-CN"/>
        </w:rPr>
        <w:t>经济健康发展提供安全保障</w:t>
      </w:r>
      <w:r>
        <w:rPr>
          <w:rFonts w:hint="eastAsia" w:ascii="仿宋_GB2312" w:hAnsi="仿宋_GB2312" w:cs="仿宋_GB2312"/>
          <w:bCs/>
          <w:color w:val="000000"/>
          <w:lang w:eastAsia="zh-CN"/>
        </w:rPr>
        <w:t>。</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3.满意度指标完成情况分析</w:t>
      </w:r>
    </w:p>
    <w:p>
      <w:pPr>
        <w:spacing w:line="540" w:lineRule="exact"/>
        <w:ind w:firstLine="600" w:firstLineChars="200"/>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受益对象满意度</w:t>
      </w:r>
      <w:r>
        <w:rPr>
          <w:rFonts w:hint="eastAsia" w:ascii="仿宋_GB2312" w:hAnsi="仿宋_GB2312" w:cs="仿宋_GB2312"/>
          <w:bCs/>
          <w:color w:val="000000"/>
          <w:lang w:eastAsia="zh-CN"/>
        </w:rPr>
        <w:t>达到</w:t>
      </w:r>
      <w:r>
        <w:rPr>
          <w:rFonts w:hint="eastAsia" w:ascii="仿宋_GB2312" w:hAnsi="仿宋_GB2312" w:cs="仿宋_GB2312"/>
          <w:bCs/>
          <w:color w:val="000000"/>
          <w:lang w:val="en-US" w:eastAsia="zh-CN"/>
        </w:rPr>
        <w:t>大于等于95%，满意度指标完成。</w:t>
      </w:r>
    </w:p>
    <w:p>
      <w:pPr>
        <w:widowControl/>
        <w:numPr>
          <w:ilvl w:val="0"/>
          <w:numId w:val="0"/>
        </w:numPr>
        <w:ind w:leftChars="200"/>
        <w:jc w:val="left"/>
        <w:rPr>
          <w:rFonts w:ascii="黑体" w:hAnsi="黑体" w:eastAsia="黑体" w:cs="黑体"/>
          <w:szCs w:val="32"/>
        </w:rPr>
      </w:pPr>
      <w:r>
        <w:rPr>
          <w:rFonts w:hint="eastAsia" w:ascii="黑体" w:hAnsi="黑体" w:eastAsia="黑体" w:cs="黑体"/>
          <w:bCs/>
          <w:szCs w:val="32"/>
          <w:lang w:eastAsia="zh-CN"/>
        </w:rPr>
        <w:t>三、</w:t>
      </w:r>
      <w:r>
        <w:rPr>
          <w:rFonts w:hint="eastAsia" w:ascii="黑体" w:hAnsi="黑体" w:eastAsia="黑体" w:cs="黑体"/>
          <w:bCs/>
          <w:szCs w:val="32"/>
        </w:rPr>
        <w:t>偏离绩效目标的原因和下一步改进措施</w:t>
      </w:r>
      <w:r>
        <w:rPr>
          <w:rFonts w:ascii="黑体" w:hAnsi="黑体" w:eastAsia="黑体" w:cs="黑体"/>
          <w:bCs/>
          <w:szCs w:val="32"/>
        </w:rPr>
        <w:t xml:space="preserve"> </w:t>
      </w:r>
      <w:r>
        <w:rPr>
          <w:rFonts w:ascii="黑体" w:hAnsi="黑体" w:eastAsia="黑体" w:cs="黑体"/>
          <w:szCs w:val="32"/>
        </w:rPr>
        <w:t xml:space="preserve">   </w:t>
      </w:r>
    </w:p>
    <w:p>
      <w:pPr>
        <w:widowControl/>
        <w:numPr>
          <w:ilvl w:val="0"/>
          <w:numId w:val="0"/>
        </w:numPr>
        <w:ind w:firstLine="600" w:firstLineChars="200"/>
        <w:jc w:val="left"/>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2019年本项目绩效目标全部达成，不存在未完成，今后对各项指标和指标值的设定要进一步优化、完善。</w:t>
      </w:r>
    </w:p>
    <w:p>
      <w:pPr>
        <w:spacing w:line="600" w:lineRule="exact"/>
        <w:ind w:firstLine="643" w:firstLineChars="200"/>
        <w:rPr>
          <w:rFonts w:ascii="黑体" w:hAnsi="黑体" w:eastAsia="黑体" w:cs="黑体"/>
          <w:b/>
          <w:bCs w:val="0"/>
          <w:sz w:val="32"/>
          <w:szCs w:val="32"/>
        </w:rPr>
      </w:pPr>
      <w:r>
        <w:rPr>
          <w:rFonts w:hint="eastAsia" w:ascii="黑体" w:hAnsi="黑体" w:eastAsia="黑体" w:cs="黑体"/>
          <w:b/>
          <w:bCs w:val="0"/>
          <w:sz w:val="32"/>
          <w:szCs w:val="32"/>
        </w:rPr>
        <w:t>四、绩效自评结果拟应用和公开情况</w:t>
      </w:r>
    </w:p>
    <w:p>
      <w:pPr>
        <w:widowControl/>
        <w:ind w:firstLine="600" w:firstLineChars="200"/>
        <w:jc w:val="left"/>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本次评价通过文件研读、实地调研、数据分析等方式，全面了解了项目资金的使用效率和效果，项目管理过程规范，按照实施方案完成了预期绩效目标。通过开展预算绩效管理和绩效自评工作，以强化单位职能为核心，通过建立科学合理的绩效机制，客观准确的评价我单位项目支出绩效，不断完善绩效评价体系，加强监督检查和考核工作。同时，通过开展自我评价来总结经验,为今后同类项目的执行与实施提供了参考依据。</w:t>
      </w:r>
    </w:p>
    <w:p>
      <w:pPr>
        <w:widowControl/>
        <w:ind w:firstLine="600" w:firstLineChars="200"/>
        <w:jc w:val="left"/>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经综合评价，此项目绩效评价结果为优秀，今后我单位会注重结果导向、强调成本效益、硬化责任约束，不断加强绩效管理队伍建设，提升业务素质，提高预算管理水平和政策实施效果，实现预算和绩效管理</w:t>
      </w:r>
      <w:bookmarkStart w:id="0" w:name="_GoBack"/>
      <w:bookmarkEnd w:id="0"/>
      <w:r>
        <w:rPr>
          <w:rFonts w:hint="eastAsia" w:ascii="仿宋_GB2312" w:hAnsi="仿宋_GB2312" w:cs="仿宋_GB2312"/>
          <w:bCs/>
          <w:color w:val="000000"/>
          <w:lang w:eastAsia="zh-CN"/>
        </w:rPr>
        <w:t>整体化</w:t>
      </w:r>
      <w:r>
        <w:rPr>
          <w:rFonts w:hint="eastAsia" w:ascii="仿宋_GB2312" w:hAnsi="仿宋_GB2312" w:eastAsia="仿宋_GB2312" w:cs="仿宋_GB2312"/>
          <w:bCs/>
          <w:color w:val="000000"/>
          <w:lang w:eastAsia="zh-CN"/>
        </w:rPr>
        <w:t>，着力提高财政资源配置效率和使用效益，全面提升我单位公共服务水平</w:t>
      </w:r>
    </w:p>
    <w:p>
      <w:pPr>
        <w:widowControl/>
        <w:ind w:firstLine="600" w:firstLineChars="200"/>
        <w:jc w:val="left"/>
        <w:rPr>
          <w:rFonts w:hint="eastAsia" w:ascii="仿宋_GB2312" w:hAnsi="仿宋_GB2312" w:eastAsia="仿宋_GB2312" w:cs="仿宋_GB2312"/>
          <w:bCs/>
          <w:color w:val="000000"/>
          <w:lang w:eastAsia="zh-CN"/>
        </w:rPr>
      </w:pPr>
      <w:r>
        <w:rPr>
          <w:rFonts w:hint="eastAsia" w:ascii="仿宋_GB2312" w:hAnsi="仿宋_GB2312" w:eastAsia="仿宋_GB2312" w:cs="仿宋_GB2312"/>
          <w:bCs/>
          <w:color w:val="000000"/>
          <w:lang w:eastAsia="zh-CN"/>
        </w:rPr>
        <w:t>绩效自评结果根据上级要求时间公开。</w:t>
      </w:r>
    </w:p>
    <w:p>
      <w:pPr>
        <w:ind w:firstLine="600" w:firstLineChars="200"/>
        <w:rPr>
          <w:rFonts w:hint="eastAsia" w:ascii="黑体" w:hAnsi="黑体" w:eastAsia="黑体" w:cs="黑体"/>
          <w:bCs/>
          <w:szCs w:val="32"/>
          <w:lang w:eastAsia="zh-CN"/>
        </w:rPr>
      </w:pPr>
      <w:r>
        <w:rPr>
          <w:rFonts w:hint="eastAsia" w:ascii="黑体" w:hAnsi="黑体" w:eastAsia="黑体" w:cs="黑体"/>
          <w:bCs/>
          <w:szCs w:val="32"/>
          <w:lang w:eastAsia="zh-CN"/>
        </w:rPr>
        <w:t>五、附表。</w:t>
      </w:r>
    </w:p>
    <w:p>
      <w:pPr>
        <w:ind w:firstLine="600" w:firstLineChars="200"/>
        <w:rPr>
          <w:rFonts w:hint="eastAsia" w:ascii="仿宋_GB2312" w:hAnsi="黑体" w:cs="黑体"/>
          <w:bCs/>
          <w:szCs w:val="32"/>
        </w:rPr>
      </w:pPr>
      <w:r>
        <w:rPr>
          <w:rFonts w:hint="eastAsia" w:ascii="仿宋_GB2312" w:hAnsi="黑体" w:cs="黑体"/>
          <w:bCs/>
          <w:szCs w:val="32"/>
        </w:rPr>
        <w:t>《</w:t>
      </w:r>
      <w:r>
        <w:rPr>
          <w:rFonts w:hint="eastAsia" w:ascii="仿宋_GB2312" w:hAnsi="宋体" w:cs="宋体"/>
          <w:bCs/>
          <w:color w:val="000000"/>
          <w:kern w:val="0"/>
          <w:sz w:val="32"/>
          <w:szCs w:val="32"/>
        </w:rPr>
        <w:t>中央对地方专项转移支付绩效自评表</w:t>
      </w:r>
      <w:r>
        <w:rPr>
          <w:rFonts w:hint="eastAsia" w:ascii="仿宋_GB2312" w:hAnsi="黑体" w:cs="黑体"/>
          <w:bCs/>
          <w:szCs w:val="32"/>
        </w:rPr>
        <w:t>》</w:t>
      </w: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p>
      <w:pPr>
        <w:ind w:firstLine="600" w:firstLineChars="200"/>
        <w:rPr>
          <w:rFonts w:hint="eastAsia" w:ascii="黑体" w:hAnsi="黑体" w:eastAsia="黑体" w:cs="黑体"/>
          <w:bCs/>
          <w:szCs w:val="32"/>
        </w:rPr>
      </w:pPr>
    </w:p>
    <w:tbl>
      <w:tblPr>
        <w:tblStyle w:val="5"/>
        <w:tblW w:w="83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13"/>
        <w:gridCol w:w="554"/>
        <w:gridCol w:w="747"/>
        <w:gridCol w:w="1431"/>
        <w:gridCol w:w="1446"/>
        <w:gridCol w:w="1129"/>
        <w:gridCol w:w="338"/>
        <w:gridCol w:w="791"/>
        <w:gridCol w:w="11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30" w:hRule="atLeast"/>
        </w:trPr>
        <w:tc>
          <w:tcPr>
            <w:tcW w:w="1267" w:type="dxa"/>
            <w:gridSpan w:val="2"/>
            <w:shd w:val="clear" w:color="auto" w:fill="auto"/>
            <w:vAlign w:val="top"/>
          </w:tcPr>
          <w:p>
            <w:pP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8"/>
                <w:szCs w:val="28"/>
                <w:u w:val="none"/>
                <w:lang w:val="en-US" w:eastAsia="zh-CN" w:bidi="ar"/>
              </w:rPr>
              <w:t>附件2：</w:t>
            </w:r>
          </w:p>
        </w:tc>
        <w:tc>
          <w:tcPr>
            <w:tcW w:w="747" w:type="dxa"/>
            <w:shd w:val="clear" w:color="auto" w:fill="auto"/>
            <w:vAlign w:val="center"/>
          </w:tcPr>
          <w:p>
            <w:pPr>
              <w:rPr>
                <w:rFonts w:hint="eastAsia" w:ascii="黑体" w:hAnsi="宋体" w:eastAsia="黑体" w:cs="黑体"/>
                <w:i w:val="0"/>
                <w:color w:val="000000"/>
                <w:sz w:val="24"/>
                <w:szCs w:val="24"/>
                <w:u w:val="none"/>
              </w:rPr>
            </w:pPr>
          </w:p>
        </w:tc>
        <w:tc>
          <w:tcPr>
            <w:tcW w:w="1431" w:type="dxa"/>
            <w:shd w:val="clear" w:color="auto" w:fill="auto"/>
            <w:vAlign w:val="center"/>
          </w:tcPr>
          <w:p>
            <w:pPr>
              <w:rPr>
                <w:rFonts w:hint="eastAsia" w:ascii="黑体" w:hAnsi="宋体" w:eastAsia="黑体" w:cs="黑体"/>
                <w:i w:val="0"/>
                <w:color w:val="000000"/>
                <w:sz w:val="24"/>
                <w:szCs w:val="24"/>
                <w:u w:val="none"/>
              </w:rPr>
            </w:pPr>
          </w:p>
        </w:tc>
        <w:tc>
          <w:tcPr>
            <w:tcW w:w="1446" w:type="dxa"/>
            <w:shd w:val="clear" w:color="auto" w:fill="auto"/>
            <w:vAlign w:val="center"/>
          </w:tcPr>
          <w:p>
            <w:pPr>
              <w:rPr>
                <w:rFonts w:hint="eastAsia" w:ascii="宋体" w:hAnsi="宋体" w:eastAsia="宋体" w:cs="宋体"/>
                <w:i w:val="0"/>
                <w:color w:val="000000"/>
                <w:sz w:val="22"/>
                <w:szCs w:val="22"/>
                <w:u w:val="none"/>
              </w:rPr>
            </w:pPr>
          </w:p>
        </w:tc>
        <w:tc>
          <w:tcPr>
            <w:tcW w:w="1129" w:type="dxa"/>
            <w:shd w:val="clear" w:color="auto" w:fill="auto"/>
            <w:vAlign w:val="center"/>
          </w:tcPr>
          <w:p>
            <w:pPr>
              <w:rPr>
                <w:rFonts w:hint="eastAsia" w:ascii="宋体" w:hAnsi="宋体" w:eastAsia="宋体" w:cs="宋体"/>
                <w:i w:val="0"/>
                <w:color w:val="000000"/>
                <w:sz w:val="22"/>
                <w:szCs w:val="22"/>
                <w:u w:val="none"/>
              </w:rPr>
            </w:pPr>
          </w:p>
        </w:tc>
        <w:tc>
          <w:tcPr>
            <w:tcW w:w="1129" w:type="dxa"/>
            <w:gridSpan w:val="2"/>
            <w:shd w:val="clear" w:color="auto" w:fill="auto"/>
            <w:vAlign w:val="center"/>
          </w:tcPr>
          <w:p>
            <w:pPr>
              <w:rPr>
                <w:rFonts w:hint="eastAsia" w:ascii="宋体" w:hAnsi="宋体" w:eastAsia="宋体" w:cs="宋体"/>
                <w:i w:val="0"/>
                <w:color w:val="000000"/>
                <w:sz w:val="22"/>
                <w:szCs w:val="22"/>
                <w:u w:val="none"/>
              </w:rPr>
            </w:pPr>
          </w:p>
        </w:tc>
        <w:tc>
          <w:tcPr>
            <w:tcW w:w="1181" w:type="dxa"/>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330" w:type="dxa"/>
            <w:gridSpan w:val="9"/>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40"/>
                <w:szCs w:val="40"/>
                <w:u w:val="none"/>
              </w:rPr>
            </w:pPr>
            <w:r>
              <w:rPr>
                <w:rFonts w:hint="default" w:ascii="方正小标宋_GBK" w:hAnsi="方正小标宋_GBK" w:eastAsia="方正小标宋_GBK" w:cs="方正小标宋_GBK"/>
                <w:i w:val="0"/>
                <w:color w:val="000000"/>
                <w:kern w:val="0"/>
                <w:sz w:val="40"/>
                <w:szCs w:val="40"/>
                <w:u w:val="none"/>
                <w:lang w:val="en-US" w:eastAsia="zh-CN" w:bidi="ar"/>
              </w:rPr>
              <w:t xml:space="preserve">中央对地方专项转移支付区域（项目）绩效目标自评表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330" w:type="dxa"/>
            <w:gridSpan w:val="9"/>
            <w:tcBorders>
              <w:bottom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2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专项（项目）名称</w:t>
            </w:r>
          </w:p>
        </w:tc>
        <w:tc>
          <w:tcPr>
            <w:tcW w:w="2877"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2019年叶尔羌河灌区麦盖提县骨干工程节水改造项目</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负责人及电话</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张明  13899155912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中央主管部门</w:t>
            </w:r>
          </w:p>
        </w:tc>
        <w:tc>
          <w:tcPr>
            <w:tcW w:w="63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地方主管部门</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18"/>
                <w:szCs w:val="18"/>
                <w:u w:val="none"/>
                <w:lang w:val="en-US" w:eastAsia="zh-CN" w:bidi="ar"/>
              </w:rPr>
              <w:t>麦盖提县水务投资开发有限公司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10222.97</w:t>
            </w: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8682.62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9"/>
                <w:lang w:val="en-US" w:eastAsia="zh-CN" w:bidi="ar"/>
              </w:rPr>
              <w:t>其中：中央补助</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10222.97</w:t>
            </w: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8682.62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Style w:val="9"/>
                <w:lang w:val="en-US" w:eastAsia="zh-CN" w:bidi="ar"/>
              </w:rPr>
              <w:t xml:space="preserve">     地方资金</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1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Style w:val="9"/>
                <w:lang w:val="en-US" w:eastAsia="zh-CN" w:bidi="ar"/>
              </w:rPr>
              <w:t xml:space="preserve"> 其他资金</w:t>
            </w:r>
          </w:p>
        </w:tc>
        <w:tc>
          <w:tcPr>
            <w:tcW w:w="14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0" w:hRule="atLeast"/>
        </w:trPr>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41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年初设定目标</w:t>
            </w:r>
          </w:p>
        </w:tc>
        <w:tc>
          <w:tcPr>
            <w:tcW w:w="34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40"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41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1.叶尔羌河灌区麦盖提县骨干工程阿克提坎渠续建配套与节水改造项目，批复投资4420.92万元，主要建设内容为渠道防渗改建20.666公里，改建渠系建筑物101座，其中节制分水闸18座，分水闸65座，农桥18座；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叶尔羌河灌区麦盖提县骨干工程巴格热克渠节水改造项目，批复投资2516.53万元，主要建设内容为渠道防渗改建12.15公里，改建渠系建筑物58座，其中节制分水闸5座，分水闸35座，农桥12座，抽水口3座，维修建建筑3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3.叶尔羌河灌区麦盖提县骨干工程农场渠节水改造项目，批复投资2364.97万元，主要建设内容为渠道防渗改建11.746公里，改建渠系建筑物81座，其中节制分水闸7座，分水闸59座，农桥12座；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4.叶尔羌河灌区麦盖提县骨干工程乌喀渠节水改造项目，批复投资920.55万元，主要建设内容为渠道防渗改建6.583公里，改建渠系建筑物52座，其中节制分水闸9座，分水闸36座，农桥7座；</w:t>
            </w:r>
          </w:p>
        </w:tc>
        <w:tc>
          <w:tcPr>
            <w:tcW w:w="34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1.叶尔羌河灌区麦盖提县骨干工程阿克提坎渠续建配套与节水改造项目，批复投资4420.92万元，主要建设内容为渠道防渗改建20.666公里，改建渠系建筑物101座，其中节制分水闸18座，分水闸65座，农桥18座；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2.叶尔羌河灌区麦盖提县骨干工程巴格热克渠节水改造项目，批复投资2516.53万元，主要建设内容为渠道防渗改建12.15公里，改建渠系建筑物58座，其中节制分水闸5座，分水闸35座，农桥12座，抽水口3座，维修建建筑3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3.叶尔羌河灌区麦盖提县骨干工程农场渠节水改造项目，批复投资2364.97万元，主要建设内容为渠道防渗改建11.746公里，改建渠系建筑物81座，其中节制分水闸7座，分水闸59座，农桥12座；</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4.叶尔羌河灌区麦盖提县骨干工程乌喀渠节水改造项目，批复投资920.55万元，主要建设内容为渠道防渗改建6.583公里，改建渠系建筑物52座，其中节制分水闸9座，分水闸36座，农桥7座；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10" w:hRule="atLeast"/>
        </w:trPr>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全年完成值</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渠道防渗(公里)</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51.145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配套渠系建筑物(座)</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工程验收合格率</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行政单位监督检查次数（次）</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建设单位监督检查次数（次）</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监理单位监督检查次数（次）</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2"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开工时间</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2019年5月5日</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达成目标</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完工时间</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2019年10月30日</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达成目标</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防渗渠道单位成本（万元）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199.88</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199.88</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7626.01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7002.86</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金属结构安装成本（万元）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282.41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229.21</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施工临时工程成本（万元）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298.77</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243.17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独立费用成本（万元）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1161.16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611.07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基本预备费（万元）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468.35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313.79</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建设征地移民补偿投资成本（万元）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220.86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环境保护工程投资成本（万元）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41.76</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水土保持工程投资成本（万元）</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123.51</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40.64</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改善灌溉面积（万亩）</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28.97</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28.97</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工程设计使用年限（年）</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2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4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p>
        </w:tc>
        <w:tc>
          <w:tcPr>
            <w:tcW w:w="761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请在此处简要说明各级审计和财政监督检查中发现的问题及其所涉及的金额，如没有请填无。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8330" w:type="dxa"/>
            <w:gridSpan w:val="9"/>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注：1.其他资金包括和中央补助、地方财政资金共同投入到同一项目的自有资金、社会资金，以及以前年度的结转结余资金等。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330" w:type="dxa"/>
            <w:gridSpan w:val="9"/>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2.定量指标，资金使用单位填写本地区实际完成数。财政和主管部门汇总时，对绝对值直接累加计算，相对值按照资金额度加权平均计算。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330" w:type="dxa"/>
            <w:gridSpan w:val="9"/>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3.定性指标根据指标完成情况分为：全部或基本达成预期指标、部分达成预期指标并具有一定效果、未达成预期指标且效果较差三档，分别按照100%-80%（含）、80%-60%（含）、60-0%合理填写完成比例。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330" w:type="dxa"/>
            <w:gridSpan w:val="9"/>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Style w:val="10"/>
                <w:lang w:val="en-US" w:eastAsia="zh-CN" w:bidi="ar"/>
              </w:rPr>
              <w:t xml:space="preserve">   4.资金使用单位按项目填报，主管部门和财政部门汇总时按区域绩效目标填报。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5B8B0"/>
    <w:multiLevelType w:val="singleLevel"/>
    <w:tmpl w:val="8375B8B0"/>
    <w:lvl w:ilvl="0" w:tentative="0">
      <w:start w:val="2"/>
      <w:numFmt w:val="chineseCounting"/>
      <w:suff w:val="nothing"/>
      <w:lvlText w:val="（%1）"/>
      <w:lvlJc w:val="left"/>
      <w:rPr>
        <w:rFonts w:hint="eastAsia"/>
      </w:rPr>
    </w:lvl>
  </w:abstractNum>
  <w:abstractNum w:abstractNumId="1">
    <w:nsid w:val="0B2BEE00"/>
    <w:multiLevelType w:val="singleLevel"/>
    <w:tmpl w:val="0B2BEE0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06514"/>
    <w:rsid w:val="17FA462B"/>
    <w:rsid w:val="315419AB"/>
    <w:rsid w:val="6D406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unhideWhenUsed/>
    <w:qFormat/>
    <w:uiPriority w:val="0"/>
    <w:pPr>
      <w:keepNext/>
      <w:widowControl/>
      <w:spacing w:before="240" w:after="60"/>
      <w:jc w:val="left"/>
      <w:outlineLvl w:val="2"/>
    </w:pPr>
    <w:rPr>
      <w:rFonts w:ascii="Calibri Light" w:hAnsi="Calibri Light" w:eastAsia="宋体"/>
      <w:b/>
      <w:bCs/>
      <w:kern w:val="0"/>
      <w:sz w:val="26"/>
      <w:szCs w:val="26"/>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bCs/>
    </w:rPr>
  </w:style>
  <w:style w:type="character" w:customStyle="1" w:styleId="6">
    <w:name w:val="font41"/>
    <w:basedOn w:val="3"/>
    <w:qFormat/>
    <w:uiPriority w:val="0"/>
    <w:rPr>
      <w:rFonts w:hint="eastAsia" w:ascii="宋体" w:hAnsi="宋体" w:eastAsia="宋体" w:cs="宋体"/>
      <w:color w:val="000000"/>
      <w:sz w:val="32"/>
      <w:szCs w:val="32"/>
      <w:u w:val="none"/>
    </w:rPr>
  </w:style>
  <w:style w:type="character" w:customStyle="1" w:styleId="7">
    <w:name w:val="font111"/>
    <w:basedOn w:val="3"/>
    <w:qFormat/>
    <w:uiPriority w:val="0"/>
    <w:rPr>
      <w:rFonts w:hint="eastAsia" w:ascii="宋体" w:hAnsi="宋体" w:eastAsia="宋体" w:cs="宋体"/>
      <w:color w:val="000000"/>
      <w:sz w:val="20"/>
      <w:szCs w:val="20"/>
      <w:u w:val="none"/>
    </w:rPr>
  </w:style>
  <w:style w:type="character" w:customStyle="1" w:styleId="8">
    <w:name w:val="font122"/>
    <w:basedOn w:val="3"/>
    <w:qFormat/>
    <w:uiPriority w:val="0"/>
    <w:rPr>
      <w:rFonts w:hint="eastAsia" w:ascii="宋体" w:hAnsi="宋体" w:eastAsia="宋体" w:cs="宋体"/>
      <w:color w:val="000000"/>
      <w:sz w:val="18"/>
      <w:szCs w:val="18"/>
      <w:u w:val="none"/>
    </w:rPr>
  </w:style>
  <w:style w:type="character" w:customStyle="1" w:styleId="9">
    <w:name w:val="font21"/>
    <w:basedOn w:val="3"/>
    <w:qFormat/>
    <w:uiPriority w:val="0"/>
    <w:rPr>
      <w:rFonts w:hint="eastAsia" w:ascii="宋体" w:hAnsi="宋体" w:eastAsia="宋体" w:cs="宋体"/>
      <w:color w:val="000000"/>
      <w:sz w:val="20"/>
      <w:szCs w:val="20"/>
      <w:u w:val="none"/>
    </w:rPr>
  </w:style>
  <w:style w:type="character" w:customStyle="1" w:styleId="10">
    <w:name w:val="font31"/>
    <w:basedOn w:val="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2020-04-06T08:49:00Z</dcterms:created>
  <dc:creator>cw03</dc:creator>
  <cp:lastModifiedBy>Administrator</cp:lastModifiedBy>
  <dcterms:modified xsi:type="dcterms:W3CDTF">2020-09-01T04:43:37Z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