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新疆喀什地区麦盖提县农村经济经营管理局2019年度部门决算公开说明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1、农经局是农民承包地权确权和监督工作；</w:t>
      </w:r>
    </w:p>
    <w:p>
      <w:pPr>
        <w:ind w:firstLine="480"/>
        <w:jc w:val="both"/>
      </w:pPr>
      <w:r>
        <w:rPr>
          <w:rFonts w:ascii="仿宋_GB2312" w:hAnsi="仿宋_GB2312" w:cs="仿宋_GB2312" w:eastAsia="仿宋_GB2312"/>
          <w:b w:val="false"/>
          <w:sz w:val="32"/>
        </w:rPr>
        <w:t>2、监督合作社建立和合作社的经营情况；</w:t>
      </w:r>
    </w:p>
    <w:p>
      <w:pPr>
        <w:ind w:firstLine="480"/>
        <w:jc w:val="both"/>
      </w:pPr>
      <w:r>
        <w:rPr>
          <w:rFonts w:ascii="仿宋_GB2312" w:hAnsi="仿宋_GB2312" w:cs="仿宋_GB2312" w:eastAsia="仿宋_GB2312"/>
          <w:b w:val="false"/>
          <w:sz w:val="32"/>
        </w:rPr>
        <w:t>3、监督农民负担工作。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新疆喀什地区麦盖提县农村经济经营管理局2019年度，实有人数25人，其中：在职人员14人，离休人员0人，退休人员11人。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从部门决算单位构成看，新疆喀什地区麦盖提县农村经济经营管理局部门决算包括：新疆喀什地区麦盖提县农村经济经营管理局决算。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2019年度本年收入1,035.56万元，与上年相比，减少1,030.33万元，下降49.87%，主要原因是：专项资金较去年减少。本年支出1,035.56万元，与上年相比，减少1,030.33万元，下降49.87%，主要原因是：专项资金较去年减少。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2019年度本年收入1,035.56万元，其中：财政拨款收入1,027.54万元，占99.23%；上级补助收入0万元，占0%；事业收入0万元，占0%；经营收入0万元，占0%；附属单位上缴收入0万元，占0%；其他收入8.02万元，占0.77%。</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2019年度本年支出1,035.56万元，其中：基本支出240.46万元，占23.22%；项目支出795.10万元，占76.78%；上缴上级支出0万元，占0%；经营支出0万元，占0%；对附属单位补助支出0万元，占0%。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1,027.54万元，与上年相比，减少1,038.35万元，下降50.26%，主要原因是：专项资金较去年减少。财政拨款支出1,027.54万元，与上年相比，减少1,038.35万元，下降50.26%，主要原因是：专项资金较去年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219.20万元，决算数1,027.54万元，预决算差异率368.77%，主要原因是：年初预算无法预计年中到达的部分专项资金，待资金实际到达后，通过预算追加的方式下达单位，因此决算数大于预算数。财政拨款支出年初预算数219.20万元，决算数1,027.54万元，预决算差异率368.77%，主要原因是：年初预算无法预计年中到达的部分专项资金，待资金实际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2019年度一般公共预算财政拨款支出1,027.54万元。按功能分类科目项级科目公开，其中：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2080505机关事业单位基本养老保险缴费支出20.40万元；</w:t>
      </w:r>
    </w:p>
    <w:p>
      <w:pPr>
        <w:ind w:firstLine="480"/>
        <w:jc w:val="both"/>
      </w:pPr>
      <w:r>
        <w:rPr>
          <w:rFonts w:ascii="仿宋_GB2312" w:hAnsi="仿宋_GB2312" w:cs="仿宋_GB2312" w:eastAsia="仿宋_GB2312"/>
          <w:b w:val="false"/>
          <w:sz w:val="32"/>
        </w:rPr>
        <w:t xml:space="preserve">   2130104事业运行支出199.28万元；</w:t>
      </w:r>
    </w:p>
    <w:p>
      <w:pPr>
        <w:ind w:firstLine="480"/>
        <w:jc w:val="both"/>
      </w:pPr>
      <w:r>
        <w:rPr>
          <w:rFonts w:ascii="仿宋_GB2312" w:hAnsi="仿宋_GB2312" w:cs="仿宋_GB2312" w:eastAsia="仿宋_GB2312"/>
          <w:b w:val="false"/>
          <w:sz w:val="32"/>
        </w:rPr>
        <w:t xml:space="preserve">   2130199其他农业支出181.22万元；</w:t>
      </w:r>
    </w:p>
    <w:p>
      <w:pPr>
        <w:ind w:firstLine="480"/>
        <w:jc w:val="both"/>
      </w:pPr>
      <w:r>
        <w:rPr>
          <w:rFonts w:ascii="仿宋_GB2312" w:hAnsi="仿宋_GB2312" w:cs="仿宋_GB2312" w:eastAsia="仿宋_GB2312"/>
          <w:b w:val="false"/>
          <w:sz w:val="32"/>
        </w:rPr>
        <w:t xml:space="preserve">   2130505生产发展支出5.86万元；</w:t>
      </w:r>
    </w:p>
    <w:p>
      <w:pPr>
        <w:ind w:firstLine="480"/>
        <w:jc w:val="both"/>
      </w:pPr>
      <w:r>
        <w:rPr>
          <w:rFonts w:ascii="仿宋_GB2312" w:hAnsi="仿宋_GB2312" w:cs="仿宋_GB2312" w:eastAsia="仿宋_GB2312"/>
          <w:b w:val="false"/>
          <w:sz w:val="32"/>
        </w:rPr>
        <w:t xml:space="preserve">   2130803农业保险保费补贴支出600万元；</w:t>
      </w:r>
    </w:p>
    <w:p>
      <w:pPr>
        <w:ind w:firstLine="480"/>
        <w:jc w:val="both"/>
      </w:pPr>
      <w:r>
        <w:rPr>
          <w:rFonts w:ascii="仿宋_GB2312" w:hAnsi="仿宋_GB2312" w:cs="仿宋_GB2312" w:eastAsia="仿宋_GB2312"/>
          <w:b w:val="false"/>
          <w:sz w:val="32"/>
        </w:rPr>
        <w:t xml:space="preserve">   2210201住房公积金支出20.79万元。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2019年度一般公共预算财政拨款基本支出240.46万元，其中：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人员经费236.80万元，包括：基本工资、津贴补贴、奖金、机关事业单位基本养老保险缴费、职工基本医疗保险缴费、公务员医疗补助缴费、其他社会保障缴费、住房公积金、退休费、抚恤金、生活补助、奖励金。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公用经费3.66万元，包括：办公费、印刷费、水费、邮电费、培训费、劳务费、公务用车运行维护费。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1.86万元，比上年减少0.11万元，降低5.58%，主要原因是厉行节约，压缩“三公”经费。其中，因公出国（境）费支出0万元，占0%，比上年增加0万元，增长0%，主要原因是与上年相比无变动，与上年一致；公务用车购置及运行维护费支出1.86万元，占100%，比上年减少0.11万元，降低5.58%，主要原因是厉行节约，压缩“三公”经费；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公务用车购置及运行维护费1.86万元，其中，公务用车购置费0万元，公务用车运行维护费1.86万元。公务用车运行维护费开支内容包括车辆燃油费、维修费、保险费。公务用车购置数0辆，公务用车保有量2辆。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1.86万元，预决算差异率-40.38%，主要原因是：专项资金较去年减少，为开展项目实际产生的“三公”经费少于年初预算，因此决算数小于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1.86万元，预决算差异率-40.38%，主要原因是：专项资金较去年减少，为开展项目实际产生的“三公”经费少于年初预算，因此决算数小于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2019年度新疆喀什地区麦盖提县农村经济经营管理局机关运行经费支出3.66万元，比上年减少2.39万元，降低39.5%，主要原因是专项资金较去年减少，为开展项目所需的日常公用经费较去年减少。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2019年度政府采购支出总额0.31万元，其中：政府采购货物支出0万元、政府采购工程支出0万元、政府采购服务支出0.31万元。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授予中小企业合同金额0.31万元，占政府采购支出总额的100%，其中：授予小微企业合同金额0.31万元，占政府采购支出总额的100%。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34（平方米），价值12.59万元。车辆2辆，价值22.60万元，其中：副部（省）级及以上领导用车0辆、主要领导干部用车0辆、机要通信用车0辆、应急保障用车0辆、执法执勤用车0辆、特种专业技术用车0辆、离退休干部用车0辆、其他用车2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674万元。预算绩效管理取得的成效：1、合作社发展补贴项目：通过项目的实施，每个合作社带动5个贫困户脱贫，同时对周边的贫困户的红枣和核桃实行保底价格收购，保证了种植户的收益，加快脱贫攻坚步伐；2、农业保险保费补贴项目：引导和支持农户自愿参加农业保险，不断扩大了农业保险覆盖面和风险保障水平， 逐步建立市场化的农业生产风险防范化解机制，做到了小麦、玉米、棉花全覆盖，降低了灾害风险，促进了农业生产，保障了农民收入。发现的问题及原因：提交种植业申报材料时，由于工作人员不认真，没有严格审核申报资料，导致申报材料内投保单资料个别有误，影响全县进度。下一步改进措施：加强干部的业务素质培训，提高业务能力，让责任心强的人员负责保险单的录入工作，积极配合相关部门工作，做到保险工作不出现问题。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B2RVkUsye1dskeKgF5OR1g==" w:hash="eAxPHKnmoUTDrYvtmxYKqFc6m2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