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新疆喀什地区麦盖提县胡杨林场2019年度部门决算公开说明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480"/>
        <w:jc w:val="both"/>
      </w:pPr>
      <w:r>
        <w:rPr>
          <w:rFonts w:ascii="仿宋_GB2312" w:hAnsi="仿宋_GB2312" w:eastAsia="仿宋_GB2312" w:cs="仿宋_GB2312"/>
          <w:b w:val="0"/>
          <w:sz w:val="32"/>
        </w:rPr>
        <w:t>1、承担本县区域内国家重点公益林管护、抚育及防火、防盗等责任，主要工作项目为林区巡逻、森林防火防盗。</w:t>
      </w:r>
    </w:p>
    <w:p>
      <w:pPr>
        <w:ind w:firstLine="480"/>
        <w:jc w:val="both"/>
      </w:pPr>
      <w:r>
        <w:rPr>
          <w:rFonts w:ascii="仿宋_GB2312" w:hAnsi="仿宋_GB2312" w:eastAsia="仿宋_GB2312" w:cs="仿宋_GB2312"/>
          <w:b w:val="0"/>
          <w:sz w:val="32"/>
        </w:rPr>
        <w:t>2、依照国家相关政策实行林区封育，执行和开展退耕还林政策。</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新疆喀什地区麦盖提县胡杨林场2019年度，实有人数23人，其中：在职人员11人，离休人员0人，退休人员12人。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从部门决算单位构成看，新疆喀什地区麦盖提县胡杨林场部门决算包括：新疆喀什地区麦盖提县胡杨林场决算。</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215.95万元，与上年相比，减少243.94万元，下降53.04%，主要原因是：本年度扶贫项目和上级专项项目资金减少。本年支出196.10万元，与上年相比，减少224.40万元，下降53.37%，主要原因是：本年度扶贫项目和上级专项项目资金减少。</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2019年度本年收入215.95万元，其中：财政拨款收入213.95万元，占99.07%；上级补助收入0万元，占0%；事业收入0万元，占0%；经营收入0万元，占0%；附属单位上缴收入0万元，占0%；其他收入2万元，占0.93%。</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2019年度本年支出196.10万元，其中：基本支出136.41万元，占69.56%；项目支出59.70万元，占30.44%；上缴上级支出0万元，占0%；经营支出0万元，占0%；对附属单位补助支出0万元，占0%。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213.95万元，与上年相比，减少47.01万元，下降18.01%，主要原因是：本年度扶贫项目和上级专项项目资金减少。财政拨款支出194.10万元，与上年相比，减少30.91万元，下降13.74%，主要原因是：本年度扶贫项目和上级专项项目资金减少。</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143.24万元，决算数213.95万元，预决算差异率49.36%，主要原因是：年初预算无法预计年中到达的部分专项资金，待资金实际到达后，通过预算追加的方式下达单位，因此决算数大于预算数。财政拨款支出年初预算数143.24万元，决算数194.10万元，预决算差异率35.51%，主要原因是：年初预算无法预计年中到达的部分专项资金，待资金实际到达后，通过预算追加的方式下达单位，因此决算数大于预算数。</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2019年度一般公共预算财政拨款支出194.09万元。按功能分类科目项级科目公开，其中：</w:t>
      </w:r>
    </w:p>
    <w:p>
      <w:pPr>
        <w:ind w:firstLine="480"/>
        <w:jc w:val="both"/>
      </w:pPr>
      <w:r>
        <w:rPr>
          <w:rFonts w:ascii="仿宋_GB2312" w:hAnsi="仿宋_GB2312" w:eastAsia="仿宋_GB2312" w:cs="仿宋_GB2312"/>
          <w:b w:val="0"/>
          <w:sz w:val="32"/>
        </w:rPr>
        <w:t xml:space="preserve">   2013299其他组织事务支出3.15万元；</w:t>
      </w:r>
    </w:p>
    <w:p>
      <w:pPr>
        <w:ind w:firstLine="480"/>
        <w:jc w:val="both"/>
      </w:pPr>
      <w:r>
        <w:rPr>
          <w:rFonts w:ascii="仿宋_GB2312" w:hAnsi="仿宋_GB2312" w:eastAsia="仿宋_GB2312" w:cs="仿宋_GB2312"/>
          <w:b w:val="0"/>
          <w:sz w:val="32"/>
        </w:rPr>
        <w:t xml:space="preserve">   2019999其他一般公共服务支出0万元；</w:t>
      </w:r>
    </w:p>
    <w:p>
      <w:pPr>
        <w:ind w:firstLine="480"/>
        <w:jc w:val="both"/>
      </w:pPr>
      <w:r>
        <w:rPr>
          <w:rFonts w:ascii="仿宋_GB2312" w:hAnsi="仿宋_GB2312" w:eastAsia="仿宋_GB2312" w:cs="仿宋_GB2312"/>
          <w:b w:val="0"/>
          <w:sz w:val="32"/>
        </w:rPr>
        <w:t xml:space="preserve">   2070199其他文化和旅游支出5万元；</w:t>
      </w:r>
    </w:p>
    <w:p>
      <w:pPr>
        <w:ind w:firstLine="480"/>
        <w:jc w:val="both"/>
      </w:pPr>
      <w:r>
        <w:rPr>
          <w:rFonts w:ascii="仿宋_GB2312" w:hAnsi="仿宋_GB2312" w:eastAsia="仿宋_GB2312" w:cs="仿宋_GB2312"/>
          <w:b w:val="0"/>
          <w:sz w:val="32"/>
        </w:rPr>
        <w:t xml:space="preserve">   2080505机关事业单位基本养老保险缴费支出12.47万元；</w:t>
      </w:r>
    </w:p>
    <w:p>
      <w:pPr>
        <w:ind w:firstLine="480"/>
        <w:jc w:val="both"/>
      </w:pPr>
      <w:r>
        <w:rPr>
          <w:rFonts w:ascii="仿宋_GB2312" w:hAnsi="仿宋_GB2312" w:eastAsia="仿宋_GB2312" w:cs="仿宋_GB2312"/>
          <w:b w:val="0"/>
          <w:sz w:val="32"/>
        </w:rPr>
        <w:t xml:space="preserve">   2089901其他社会保障和就业支出0.53万元；</w:t>
      </w:r>
    </w:p>
    <w:p>
      <w:pPr>
        <w:ind w:firstLine="480"/>
        <w:jc w:val="both"/>
      </w:pPr>
      <w:r>
        <w:rPr>
          <w:rFonts w:ascii="仿宋_GB2312" w:hAnsi="仿宋_GB2312" w:eastAsia="仿宋_GB2312" w:cs="仿宋_GB2312"/>
          <w:b w:val="0"/>
          <w:sz w:val="32"/>
        </w:rPr>
        <w:t xml:space="preserve">   2130204事业机构支出114.30万元；</w:t>
      </w:r>
    </w:p>
    <w:p>
      <w:pPr>
        <w:ind w:firstLine="480"/>
        <w:jc w:val="both"/>
      </w:pPr>
      <w:r>
        <w:rPr>
          <w:rFonts w:ascii="仿宋_GB2312" w:hAnsi="仿宋_GB2312" w:eastAsia="仿宋_GB2312" w:cs="仿宋_GB2312"/>
          <w:b w:val="0"/>
          <w:sz w:val="32"/>
        </w:rPr>
        <w:t xml:space="preserve">   2130209森林生态效益补偿支出44万元；</w:t>
      </w:r>
    </w:p>
    <w:p>
      <w:pPr>
        <w:ind w:firstLine="480"/>
        <w:jc w:val="both"/>
      </w:pPr>
      <w:r>
        <w:rPr>
          <w:rFonts w:ascii="仿宋_GB2312" w:hAnsi="仿宋_GB2312" w:eastAsia="仿宋_GB2312" w:cs="仿宋_GB2312"/>
          <w:b w:val="0"/>
          <w:sz w:val="32"/>
        </w:rPr>
        <w:t xml:space="preserve">   2130299其他林业和草原支出0万元；</w:t>
      </w:r>
    </w:p>
    <w:p>
      <w:pPr>
        <w:ind w:firstLine="480"/>
        <w:jc w:val="both"/>
      </w:pPr>
      <w:r>
        <w:rPr>
          <w:rFonts w:ascii="仿宋_GB2312" w:hAnsi="仿宋_GB2312" w:eastAsia="仿宋_GB2312" w:cs="仿宋_GB2312"/>
          <w:b w:val="0"/>
          <w:sz w:val="32"/>
        </w:rPr>
        <w:t xml:space="preserve">   2210201住房公积金支出9.63万元；</w:t>
      </w:r>
    </w:p>
    <w:p>
      <w:pPr>
        <w:ind w:firstLine="480"/>
        <w:jc w:val="both"/>
      </w:pPr>
      <w:r>
        <w:rPr>
          <w:rFonts w:ascii="仿宋_GB2312" w:hAnsi="仿宋_GB2312" w:eastAsia="仿宋_GB2312" w:cs="仿宋_GB2312"/>
          <w:b w:val="0"/>
          <w:sz w:val="32"/>
        </w:rPr>
        <w:t xml:space="preserve">   2299901其他支出5万元。</w:t>
      </w:r>
    </w:p>
    <w:p>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2019年度一般公共预算财政拨款基本支出136.41万元，其中：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人员经费125.65万元，包括：基本工资、津贴补贴、奖金、绩效工资、机关事业单位基本养老保险缴费、职工基本医疗保险缴费、其他社会保障缴费、住房公积金、退休费、生活补助。</w:t>
      </w:r>
    </w:p>
    <w:p>
      <w:pPr>
        <w:ind w:firstLine="640" w:firstLineChars="200"/>
        <w:rPr>
          <w:rFonts w:ascii="仿宋_GB2312" w:eastAsia="仿宋_GB2312"/>
          <w:sz w:val="32"/>
          <w:szCs w:val="32"/>
        </w:rPr>
      </w:pPr>
      <w:r>
        <w:rPr>
          <w:rFonts w:ascii="仿宋_GB2312" w:hAnsi="仿宋_GB2312" w:eastAsia="仿宋_GB2312" w:cs="仿宋_GB2312"/>
          <w:sz w:val="32"/>
        </w:rPr>
        <w:t>公用经费10.76万元，包括：邮电费、取暖费、公务用车运行维护费。</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1.88万元，比上年增加0.03万元，增长1.62%，主要原因是本年度脱贫攻坚工作量大，为做好脱贫攻坚工作，所需的车辆运行维护费较去年增加。其中，因公出国（境）费支出0万元，占0%，比上年增加0万元，增长0%，主要原因是与上年相比无变动，与上年一致；公务用车购置及运行维护费支出1.88万元，占100%，比上年增加0.03万元，增长1.62%，主要原因是本年度脱贫攻坚工作量大，为做好脱贫攻坚工作，所需的车辆运行维护费较去年增加；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1.88万元，其中，公务用车购置费0万元，公务用车运行维护费1.88万元。公务用车运行维护费开支内容包括汽车油料、车辆维护费、车辆保险费用。公务用车购置数0辆，公务用车保有量1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1.56万元，决算数1.88万元，预决算差异率20.51%，主要原因是：年初预算车辆运行维护费15600元，一辆车保险3233.37元未列入年初预算，因此决算数大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1.56万元，决算数1.88万元，预决算差异率20.51%，主要原因是：年初预算车辆运行维护费15600元，一辆车保险3233.37元未列入年初预算，因此决算数大于年初预算数；公务接待费预算数0万元，决算数0万元，预决算差异率0%，主要原因是：预算未安排，也无相应支出，因此预决算无差异。</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hAnsi="仿宋_GB2312" w:eastAsia="仿宋_GB2312" w:cs="仿宋_GB2312"/>
          <w:sz w:val="32"/>
        </w:rPr>
        <w:t>2019年度政府性基金预算财政拨款收入0.02万元，与上年相比，增加0.02万元，增长100%，主要原因是：该政府性基金是自治区困难残疾人生活补助资金，胡杨林场有1名残疾人，由于我厂距离县城很远，为了便于发放补贴，19年指标下给我单位，由我单位支出，因此较去年增加。政府性基金预算支出0.02万元，与上年相比，增加0.02万元，增长100%，主要原因是：该政府性基金是自治区困难残疾人生活补助资金，胡杨林场有1名残疾人，由于我厂距离县城很远，为了便于发放补贴，19年指标下给我单位，由我单位支出，因此较去年增加。</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新疆喀什地区麦盖提县胡杨林场日常公用经费10.76万元，比上年增加5.91万元，增长121.86%，主要原因是本年度脱贫攻坚工作量较去年增加，为做好脱贫攻坚工作，所需的各类日常经费开支较去年增加。</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2019年度政府采购支出总额0.32万元，其中：政府采购货物支出0.32万元、政府采购工程支出0万元、政府采购服务支出0万元。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授予中小企业合同金额0.32万元，占政府采购支出总额的100%，其中：授予小微企业合同金额0.32万元，占政府采购支出总额的100%。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1,737.78（平方米），价值123.40万元。车辆1辆，价值6.20万元，其中：副部（省）级及以上领导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lang w:val="en-US"/>
        </w:rPr>
      </w:pPr>
      <w:bookmarkStart w:id="34" w:name="_Toc24143"/>
      <w:bookmarkStart w:id="35" w:name="_Toc3250"/>
      <w:r>
        <w:rPr>
          <w:rFonts w:hint="eastAsia" w:ascii="仿宋_GB2312" w:hAnsi="仿宋_GB2312" w:eastAsia="仿宋_GB2312" w:cs="仿宋_GB2312"/>
          <w:sz w:val="32"/>
          <w:lang w:val="en-US" w:eastAsia="zh-CN"/>
        </w:rPr>
        <w:t>根据预算绩效管理要求，我单位2019年度开展预算绩效评价项目0个，共涉及资金0万元。预算绩效管理取得的成效：无。发现的问题及原因：无。下一步改进措施：无。本单位无有关预算绩效管理和绩效自评开展情况。</w:t>
      </w:r>
    </w:p>
    <w:p>
      <w:pPr>
        <w:ind w:firstLine="640" w:firstLineChars="200"/>
        <w:jc w:val="center"/>
        <w:outlineLvl w:val="0"/>
        <w:rPr>
          <w:rFonts w:ascii="黑体" w:hAnsi="黑体" w:eastAsia="黑体"/>
          <w:sz w:val="32"/>
          <w:szCs w:val="32"/>
        </w:rPr>
      </w:pPr>
      <w:bookmarkStart w:id="54" w:name="_GoBack"/>
      <w:bookmarkEnd w:id="54"/>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CB174F4"/>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qFormat/>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1031</Words>
  <Characters>5881</Characters>
  <Lines>49</Lines>
  <Paragraphs>13</Paragraphs>
  <TotalTime>0</TotalTime>
  <ScaleCrop>false</ScaleCrop>
  <LinksUpToDate>false</LinksUpToDate>
  <CharactersWithSpaces>6899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2020-10-04T05:36:19Z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