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仿宋_GB2312" w:hAnsi="方正仿宋_GB2312" w:eastAsia="方正仿宋_GB2312" w:cs="方正仿宋_GB2312"/>
          <w:b/>
          <w:bCs/>
          <w:sz w:val="48"/>
          <w:szCs w:val="48"/>
        </w:rPr>
      </w:pPr>
    </w:p>
    <w:p>
      <w:pPr>
        <w:jc w:val="center"/>
        <w:outlineLvl w:val="0"/>
        <w:rPr>
          <w:rFonts w:hint="eastAsia" w:ascii="方正仿宋_GB2312" w:hAnsi="方正仿宋_GB2312" w:eastAsia="方正仿宋_GB2312" w:cs="方正仿宋_GB2312"/>
          <w:b/>
          <w:bCs/>
          <w:sz w:val="48"/>
          <w:szCs w:val="48"/>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仿宋" w:hAnsi="仿宋" w:eastAsia="仿宋" w:cs="宋体"/>
          <w:kern w:val="0"/>
          <w:sz w:val="32"/>
          <w:szCs w:val="32"/>
        </w:rPr>
      </w:pPr>
    </w:p>
    <w:p>
      <w:pPr>
        <w:spacing w:line="540" w:lineRule="exact"/>
        <w:jc w:val="center"/>
        <w:rPr>
          <w:rFonts w:hint="eastAsia" w:ascii="仿宋" w:hAnsi="仿宋" w:eastAsia="仿宋" w:cs="宋体"/>
          <w:kern w:val="0"/>
          <w:sz w:val="32"/>
          <w:szCs w:val="32"/>
        </w:rPr>
      </w:pPr>
    </w:p>
    <w:p>
      <w:pPr>
        <w:spacing w:line="540" w:lineRule="exact"/>
        <w:jc w:val="center"/>
        <w:rPr>
          <w:rFonts w:hint="eastAsia"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pStyle w:val="2"/>
        <w:outlineLvl w:val="9"/>
        <w:rPr>
          <w:rFonts w:hint="eastAsia"/>
        </w:rPr>
      </w:pPr>
    </w:p>
    <w:p>
      <w:pPr>
        <w:rPr>
          <w:rFonts w:hint="eastAsia"/>
        </w:rPr>
      </w:pPr>
    </w:p>
    <w:p>
      <w:pPr>
        <w:spacing w:line="540" w:lineRule="exact"/>
        <w:jc w:val="both"/>
        <w:rPr>
          <w:rFonts w:hint="eastAsia" w:ascii="方正仿宋_GB2312" w:hAnsi="方正仿宋_GB2312" w:eastAsia="方正仿宋_GB2312" w:cs="方正仿宋_GB2312"/>
          <w:kern w:val="0"/>
          <w:szCs w:val="30"/>
        </w:rPr>
      </w:pPr>
    </w:p>
    <w:p>
      <w:pPr>
        <w:spacing w:line="540" w:lineRule="exact"/>
        <w:rPr>
          <w:rFonts w:hint="eastAsia" w:ascii="方正仿宋_GB2312" w:hAnsi="方正仿宋_GB2312" w:eastAsia="方正仿宋_GB2312" w:cs="方正仿宋_GB2312"/>
          <w:kern w:val="0"/>
          <w:szCs w:val="30"/>
        </w:rPr>
      </w:pP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项目名称：项目管理费项目</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实施单位（公章）：麦盖提县扶贫办</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主管部门（公章）：麦盖提县扶贫办</w:t>
      </w:r>
    </w:p>
    <w:p>
      <w:pPr>
        <w:spacing w:line="700" w:lineRule="exact"/>
        <w:ind w:firstLine="755" w:firstLineChars="236"/>
        <w:jc w:val="left"/>
        <w:rPr>
          <w:rFonts w:hint="eastAsia" w:ascii="仿宋" w:hAnsi="仿宋" w:eastAsia="仿宋" w:cs="仿宋"/>
          <w:kern w:val="0"/>
          <w:sz w:val="32"/>
          <w:szCs w:val="32"/>
        </w:rPr>
      </w:pPr>
      <w:r>
        <w:rPr>
          <w:rFonts w:hint="eastAsia" w:ascii="仿宋" w:hAnsi="仿宋" w:eastAsia="仿宋" w:cs="仿宋"/>
          <w:kern w:val="0"/>
          <w:sz w:val="32"/>
          <w:szCs w:val="32"/>
        </w:rPr>
        <w:t>项目负责人（签章）：王疆</w:t>
      </w:r>
    </w:p>
    <w:p>
      <w:pPr>
        <w:spacing w:line="700" w:lineRule="exact"/>
        <w:ind w:firstLine="755" w:firstLineChars="236"/>
        <w:jc w:val="left"/>
        <w:rPr>
          <w:rFonts w:hint="eastAsia" w:ascii="仿宋" w:hAnsi="仿宋" w:eastAsia="仿宋" w:cs="仿宋"/>
          <w:kern w:val="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kern w:val="0"/>
          <w:sz w:val="32"/>
          <w:szCs w:val="32"/>
        </w:rPr>
        <w:t>填报时间：2019年1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31日</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一、项目概况</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麦盖提县扶贫开发办公室位于南网大道县委办公楼三楼扶贫办设置为综合股、财务室、移民管理局、扶贫产业发展中心、建档立卡信息管理中心、档案室，6个股室。扶贫开发办公室核定人员编制6名(行政编5人、工勤编1人)，实有10人。主要职能为：负责全县扶贫开发工作，编制扶贫规划和项目，监督检查扶贫资金的管理和使用，组织开展扶贫宣传，协助有关部门抓好农牧业实用技术培训</w:t>
      </w:r>
      <w:r>
        <w:rPr>
          <w:rFonts w:hint="eastAsia" w:ascii="仿宋" w:hAnsi="仿宋" w:eastAsia="仿宋" w:cs="仿宋"/>
          <w:kern w:val="0"/>
          <w:sz w:val="32"/>
          <w:szCs w:val="32"/>
          <w:lang w:eastAsia="zh-CN"/>
        </w:rPr>
        <w:t>。</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(二)项目简介</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1.用于脱贫攻坚项目过程中对项目的前期准备、实施、项目管理及资金管理相关的经费支出；从而确保扶贫项目安排精准、资金使用精准，项目切实落地实施。</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2.扶贫项目的宣传、可研、公示公告、档案管理绩效评价等；确保项目资金规范、安全。贫困受益户对惠及自身的扶贫政策。</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lang w:eastAsia="zh-CN"/>
        </w:rPr>
        <w:t>（</w:t>
      </w:r>
      <w:r>
        <w:rPr>
          <w:rStyle w:val="5"/>
          <w:rFonts w:hint="eastAsia" w:ascii="楷体" w:hAnsi="楷体" w:eastAsia="楷体"/>
          <w:spacing w:val="-4"/>
          <w:sz w:val="32"/>
          <w:szCs w:val="32"/>
          <w:lang w:val="en-US" w:eastAsia="zh-CN"/>
        </w:rPr>
        <w:t>三）</w:t>
      </w:r>
      <w:r>
        <w:rPr>
          <w:rStyle w:val="5"/>
          <w:rFonts w:hint="eastAsia" w:ascii="楷体" w:hAnsi="楷体" w:eastAsia="楷体"/>
          <w:spacing w:val="-4"/>
          <w:sz w:val="32"/>
          <w:szCs w:val="32"/>
        </w:rPr>
        <w:t>项目预算绩效目标设定情况</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项目预期目标</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主要用于脱贫攻坚项目过程中对项目的前期准备、实施、项目管理及资金管理相关的经费支出；扶贫项目的宣传、可研公示公告、档案管理等</w:t>
      </w:r>
      <w:r>
        <w:rPr>
          <w:rFonts w:hint="eastAsia" w:ascii="仿宋" w:hAnsi="仿宋" w:eastAsia="仿宋" w:cs="仿宋"/>
          <w:kern w:val="0"/>
          <w:sz w:val="32"/>
          <w:szCs w:val="32"/>
          <w:lang w:eastAsia="zh-CN"/>
        </w:rPr>
        <w:t>。</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项目基本性质</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本项目性质为延续项目</w:t>
      </w:r>
      <w:r>
        <w:rPr>
          <w:rFonts w:hint="eastAsia" w:ascii="仿宋" w:hAnsi="仿宋" w:eastAsia="仿宋" w:cs="仿宋"/>
          <w:kern w:val="0"/>
          <w:sz w:val="32"/>
          <w:szCs w:val="32"/>
          <w:lang w:eastAsia="zh-CN"/>
        </w:rPr>
        <w:t>。</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项目用途及范围</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财政扶贫项目管理费主要用于规划编制、项目评估、成果宣传、档案管理以及资料费、印刷费报账管理开支</w:t>
      </w:r>
      <w:r>
        <w:rPr>
          <w:rFonts w:hint="eastAsia" w:ascii="仿宋" w:hAnsi="仿宋" w:eastAsia="仿宋" w:cs="仿宋"/>
          <w:kern w:val="0"/>
          <w:sz w:val="32"/>
          <w:szCs w:val="32"/>
          <w:lang w:eastAsia="zh-CN"/>
        </w:rPr>
        <w:t>。</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二、项目资金使用及管理情况</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项目管理费预算安排总额为149.838万元，其中财政资金149.838万元，2019年实际收到预算资金149.838万元</w:t>
      </w:r>
      <w:r>
        <w:rPr>
          <w:rFonts w:hint="eastAsia" w:ascii="仿宋" w:hAnsi="仿宋" w:eastAsia="仿宋" w:cs="仿宋"/>
          <w:kern w:val="0"/>
          <w:sz w:val="32"/>
          <w:szCs w:val="32"/>
          <w:lang w:eastAsia="zh-CN"/>
        </w:rPr>
        <w:t>。</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rPr>
        <w:t>（二）项目资金实际使用情况分析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本项目实际支付资金149.838万元，预算执行率100%，项目资金主要用于支付规划编制、项目评估、成果宣传、档案</w:t>
      </w:r>
      <w:r>
        <w:rPr>
          <w:rFonts w:hint="eastAsia" w:ascii="仿宋" w:hAnsi="仿宋" w:eastAsia="仿宋" w:cs="仿宋"/>
          <w:kern w:val="0"/>
          <w:sz w:val="32"/>
          <w:szCs w:val="32"/>
          <w:lang w:eastAsia="zh-CN"/>
        </w:rPr>
        <w:t xml:space="preserve">管理以及资料费、印刷费报账管理开支费用149.838万元。 </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rPr>
        <w:t>（三）项目资金管理情况分析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本项目支出符合《新疆维吾尔自治区财政专项扶贫资金管理办法》规定，资金的拨付有完整的审批程序和手续，不存在截留、挤占、挪用等情况。</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三、项目组织实施情况</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rPr>
        <w:t>（一）项目组织情况分析</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该项目属于延续项目，没有达到招投标限额，由本单位自行组织实施。实施过程均按照本单位制定的管理制度执行。本项目不存在调整情况。本项目不存在检查验收程序。</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rPr>
      </w:pPr>
      <w:r>
        <w:rPr>
          <w:rStyle w:val="5"/>
          <w:rFonts w:hint="eastAsia" w:ascii="楷体" w:hAnsi="楷体" w:eastAsia="楷体"/>
          <w:spacing w:val="-4"/>
          <w:sz w:val="32"/>
          <w:szCs w:val="32"/>
        </w:rPr>
        <w:t>（二）项目管理情况分析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项目实施过程中，自治区下发了《新疆维吾尔自治区财政专项扶贫资金管理办法》保障项目的顺利实施。项目的实施遵守相关法律法规和业务管理规定，项目资料齐全并及时归档，不定期对项目进度情况进行督导检查，对检查过程中发现的问题及时督促整改，确保了项目按时保质完成。</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四、项目绩效目标完成情况分析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本项目共设置一级指标3个，二级指标</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lang w:eastAsia="zh-CN"/>
        </w:rPr>
        <w:t>个，三级指标</w:t>
      </w:r>
      <w:r>
        <w:rPr>
          <w:rFonts w:hint="eastAsia" w:ascii="仿宋" w:hAnsi="仿宋" w:eastAsia="仿宋" w:cs="仿宋"/>
          <w:kern w:val="0"/>
          <w:sz w:val="32"/>
          <w:szCs w:val="32"/>
          <w:lang w:val="en-US" w:eastAsia="zh-CN"/>
        </w:rPr>
        <w:t>15</w:t>
      </w:r>
      <w:r>
        <w:rPr>
          <w:rFonts w:hint="eastAsia" w:ascii="仿宋" w:hAnsi="仿宋" w:eastAsia="仿宋" w:cs="仿宋"/>
          <w:kern w:val="0"/>
          <w:sz w:val="32"/>
          <w:szCs w:val="32"/>
          <w:lang w:eastAsia="zh-CN"/>
        </w:rPr>
        <w:t>个，其中已完成三级指标1</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个，指标完成率为100%。</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(一)产出指标完成情况分析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1.项目完成数量</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服务项目个数预期值34个，实际完成值34个，该指标权值分为5分，得分5分；服务总资金预期值71497.9万元，实际完成值71497.9万元，该指标权值分为5分，得分5分；涉及贫困户数量预期值13838户，实际完成值13838户，该指标权值分为5分，得分5分；数量指标总权值分15分，得分15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2.项目完成质量</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扶贫项目管理准确性预期值98%,实际完成值98%，该指标权值分为4分，得分4分；扶贫项目按期完成率预期值99%,实际完成值99%，该指标权值分为4分，得分4分；扶贫项目验收合格率预期值98%,实际完成值98%，该指标权值分为4分，得分4分；管理资金使用规范性比例预期值100%，实际完成值100%，该指标权值分为4分，得分4分；质量指标总权值分16分，得分16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3.项目完成时效</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本项目于2019年1月开工及时率预期值100%,实际完成值100%，该指标权值分为4分，得分4分；2019年12月完工及时率预期值100%,实际完成值100%，该指标权值分为4分，得分4分；时效指标总权值分8分，得分8分。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4.项目成本节约情况</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项目宣传、执行管理成本预期值88万元，实际完成值88，该指标权值分为5分，得分5分；</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项目资金监督、评价审计成本预期值61.838万元，实际完成值61.838，该指标权值分为6分，得分6分；成本指标总权值分11分，得分11分。</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（二）效益指标完成情况分析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1.经济效益指标</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提高扶贫资金使用效益预期值显著提高，实际完成值100%，该指标权值分为10分，得分10分；经济效益指标总权值分10分，得分10分。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2.社会效益指标</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促进全县脱贫预期值有所促进，实际完成值100%，该指标权值分为10分，得分10分；社会效益指标总权值分10分，得分10分。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 w:hAnsi="仿宋" w:eastAsia="仿宋" w:cs="仿宋"/>
          <w:b w:val="0"/>
          <w:spacing w:val="-4"/>
          <w:sz w:val="32"/>
          <w:szCs w:val="32"/>
          <w:lang w:val="en-US" w:eastAsia="zh-CN"/>
        </w:rPr>
      </w:pPr>
      <w:r>
        <w:rPr>
          <w:rStyle w:val="5"/>
          <w:rFonts w:hint="eastAsia" w:ascii="仿宋" w:hAnsi="仿宋" w:eastAsia="仿宋" w:cs="仿宋"/>
          <w:b w:val="0"/>
          <w:spacing w:val="-4"/>
          <w:sz w:val="32"/>
          <w:szCs w:val="32"/>
          <w:lang w:val="en-US" w:eastAsia="zh-CN"/>
        </w:rPr>
        <w:t>3.可持续影响指标</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政府公信力的影响预期值长期影响，实际完成值100%，该指标权值分为10分，得分10分；可持续影响指标总权值分10分，得分10分。</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（三）满意度指标完成情况分析</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受益群众满意度指标预期值98%以上，实际完成值98%，该指标权值分为10分，得分10分；满意度指标总权值分10分，得分10分。</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五、项目绩效目标未完成的原因分析和改进措施</w:t>
      </w:r>
    </w:p>
    <w:p>
      <w:pPr>
        <w:keepLines w:val="0"/>
        <w:pageBreakBefore w:val="0"/>
        <w:kinsoku/>
        <w:wordWrap/>
        <w:overflowPunct/>
        <w:topLinePunct w:val="0"/>
        <w:autoSpaceDE/>
        <w:autoSpaceDN/>
        <w:bidi w:val="0"/>
        <w:adjustRightInd/>
        <w:snapToGrid/>
        <w:spacing w:line="560" w:lineRule="exact"/>
        <w:ind w:firstLine="755" w:firstLineChars="236"/>
        <w:jc w:val="both"/>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2019年本项目绩效目标全部达成，不存在未完成，今后对各项指标和指标值的设定要进一步优化、完善。今后对项目的实施计划编制要综合考虑多方面原因。</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六、综合评价结论</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综合评价，本项目达成预期指标，在项目实施过程中，做到了资金使用、管理、保障到位，严格执行扶贫资金管理办法和财政资金管理制度，按照项目实施方案、招投标管理办法，根据年初设定的绩效目标，此项目综合评价得分为</w:t>
      </w:r>
      <w:r>
        <w:rPr>
          <w:rFonts w:hint="eastAsia" w:ascii="仿宋" w:hAnsi="仿宋" w:eastAsia="仿宋" w:cs="仿宋"/>
          <w:kern w:val="0"/>
          <w:sz w:val="32"/>
          <w:szCs w:val="32"/>
          <w:lang w:val="en-US" w:eastAsia="zh-CN"/>
        </w:rPr>
        <w:t>100</w:t>
      </w:r>
      <w:r>
        <w:rPr>
          <w:rFonts w:hint="eastAsia" w:ascii="仿宋" w:hAnsi="仿宋" w:eastAsia="仿宋" w:cs="仿宋"/>
          <w:kern w:val="0"/>
          <w:sz w:val="32"/>
          <w:szCs w:val="32"/>
        </w:rPr>
        <w:t>分。</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七、项目实施的经验、问题、建议</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（一）主要经验及做法</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保证项目监管到位，保质保量完成建设项目，坚持资金跟着项目走、项目跟着规划走、规划跟着需求走。</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eastAsia"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（二）存在的问题</w:t>
      </w:r>
    </w:p>
    <w:p>
      <w:pPr>
        <w:pStyle w:val="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leftChars="0" w:firstLine="520" w:firstLineChars="200"/>
        <w:textAlignment w:val="auto"/>
        <w:outlineLvl w:val="2"/>
        <w:rPr>
          <w:rFonts w:hint="default"/>
          <w:b w:val="0"/>
          <w:bCs w:val="0"/>
          <w:lang w:val="en-US" w:eastAsia="zh-CN"/>
        </w:rPr>
      </w:pPr>
      <w:r>
        <w:rPr>
          <w:rFonts w:hint="eastAsia"/>
          <w:b w:val="0"/>
          <w:bCs w:val="0"/>
          <w:lang w:val="en-US" w:eastAsia="zh-CN"/>
        </w:rPr>
        <w:t xml:space="preserve"> </w:t>
      </w:r>
      <w:r>
        <w:rPr>
          <w:rFonts w:hint="eastAsia" w:ascii="仿宋" w:hAnsi="仿宋" w:eastAsia="仿宋" w:cs="仿宋"/>
          <w:b w:val="0"/>
          <w:bCs w:val="0"/>
          <w:kern w:val="0"/>
          <w:sz w:val="32"/>
          <w:szCs w:val="32"/>
          <w:lang w:val="en-US" w:eastAsia="zh-CN" w:bidi="ar-SA"/>
        </w:rPr>
        <w:t xml:space="preserve">  无。</w:t>
      </w:r>
    </w:p>
    <w:p>
      <w:pPr>
        <w:keepLines w:val="0"/>
        <w:pageBreakBefore w:val="0"/>
        <w:kinsoku/>
        <w:wordWrap/>
        <w:overflowPunct/>
        <w:topLinePunct w:val="0"/>
        <w:autoSpaceDE/>
        <w:autoSpaceDN/>
        <w:bidi w:val="0"/>
        <w:adjustRightInd/>
        <w:snapToGrid/>
        <w:spacing w:line="560" w:lineRule="exact"/>
        <w:ind w:firstLine="567"/>
        <w:textAlignment w:val="auto"/>
        <w:rPr>
          <w:rStyle w:val="5"/>
          <w:rFonts w:hint="default" w:ascii="楷体" w:hAnsi="楷体" w:eastAsia="楷体"/>
          <w:spacing w:val="-4"/>
          <w:sz w:val="32"/>
          <w:szCs w:val="32"/>
          <w:lang w:val="en-US" w:eastAsia="zh-CN"/>
        </w:rPr>
      </w:pPr>
      <w:r>
        <w:rPr>
          <w:rStyle w:val="5"/>
          <w:rFonts w:hint="eastAsia" w:ascii="楷体" w:hAnsi="楷体" w:eastAsia="楷体"/>
          <w:spacing w:val="-4"/>
          <w:sz w:val="32"/>
          <w:szCs w:val="32"/>
          <w:lang w:val="en-US" w:eastAsia="zh-CN"/>
        </w:rPr>
        <w:t>（三）建议</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方正仿宋_GB2312" w:hAnsi="方正仿宋_GB2312" w:eastAsia="方正仿宋_GB2312" w:cs="方正仿宋_GB2312"/>
          <w:kern w:val="0"/>
          <w:sz w:val="32"/>
          <w:szCs w:val="32"/>
          <w:lang w:eastAsia="zh-CN"/>
        </w:rPr>
      </w:pPr>
      <w:r>
        <w:rPr>
          <w:rFonts w:hint="eastAsia" w:ascii="仿宋" w:hAnsi="仿宋" w:eastAsia="仿宋" w:cs="仿宋"/>
          <w:kern w:val="0"/>
          <w:sz w:val="32"/>
          <w:szCs w:val="32"/>
          <w:lang w:eastAsia="zh-CN"/>
        </w:rPr>
        <w:t>上级扶贫部门下发关于项目管理费的文件，明确项目管理费的使用范围。</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八、绩效评价工作有关说明</w:t>
      </w:r>
    </w:p>
    <w:p>
      <w:pPr>
        <w:keepLines w:val="0"/>
        <w:pageBreakBefore w:val="0"/>
        <w:kinsoku/>
        <w:wordWrap/>
        <w:overflowPunct/>
        <w:topLinePunct w:val="0"/>
        <w:autoSpaceDE/>
        <w:autoSpaceDN/>
        <w:bidi w:val="0"/>
        <w:adjustRightInd/>
        <w:snapToGrid/>
        <w:spacing w:line="560" w:lineRule="exact"/>
        <w:ind w:firstLine="755" w:firstLineChars="236"/>
        <w:jc w:val="left"/>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本次评价通过文件研读、实地调研、数据分析等方式，全面了项目资金的使用效率和效果，项目管理过程规范，按照实施方案完成了预期绩效目标等。同时，通过开展自我评价来总结经验，为今后项目执行提供参考依据。</w:t>
      </w:r>
    </w:p>
    <w:p>
      <w:pPr>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b w:val="0"/>
          <w:bCs w:val="0"/>
          <w:color w:val="0C0C0C"/>
          <w:sz w:val="32"/>
          <w:szCs w:val="32"/>
          <w:lang w:val="en-US" w:eastAsia="zh-CN"/>
        </w:rPr>
      </w:pPr>
      <w:r>
        <w:rPr>
          <w:rFonts w:hint="eastAsia" w:ascii="黑体" w:hAnsi="黑体" w:eastAsia="黑体" w:cs="仿宋"/>
          <w:b w:val="0"/>
          <w:bCs w:val="0"/>
          <w:color w:val="0C0C0C"/>
          <w:sz w:val="32"/>
          <w:szCs w:val="32"/>
          <w:lang w:val="en-US" w:eastAsia="zh-CN"/>
        </w:rPr>
        <w:t>九、附表</w:t>
      </w:r>
    </w:p>
    <w:p>
      <w:pPr>
        <w:keepLines w:val="0"/>
        <w:pageBreakBefore w:val="0"/>
        <w:numPr>
          <w:ilvl w:val="0"/>
          <w:numId w:val="0"/>
        </w:numPr>
        <w:kinsoku/>
        <w:wordWrap/>
        <w:overflowPunct/>
        <w:topLinePunct w:val="0"/>
        <w:autoSpaceDE/>
        <w:autoSpaceDN/>
        <w:bidi w:val="0"/>
        <w:adjustRightInd/>
        <w:snapToGrid/>
        <w:spacing w:line="560" w:lineRule="exact"/>
        <w:ind w:firstLine="643" w:firstLineChars="200"/>
        <w:jc w:val="left"/>
        <w:textAlignment w:val="auto"/>
        <w:outlineLvl w:val="0"/>
        <w:rPr>
          <w:rFonts w:hint="default"/>
          <w:b/>
          <w:bCs/>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bCs/>
          <w:color w:val="000000"/>
          <w:sz w:val="32"/>
          <w:szCs w:val="32"/>
        </w:rPr>
        <w:t>《</w:t>
      </w:r>
      <w:bookmarkStart w:id="0" w:name="_GoBack"/>
      <w:r>
        <w:rPr>
          <w:rFonts w:hint="eastAsia" w:ascii="仿宋" w:hAnsi="仿宋" w:eastAsia="仿宋" w:cs="仿宋"/>
          <w:b/>
          <w:bCs/>
          <w:color w:val="000000"/>
          <w:sz w:val="32"/>
          <w:szCs w:val="32"/>
          <w:lang w:val="en-US" w:eastAsia="zh-CN"/>
        </w:rPr>
        <w:t>绩效目标自评表</w:t>
      </w:r>
      <w:bookmarkEnd w:id="0"/>
      <w:r>
        <w:rPr>
          <w:rFonts w:hint="eastAsia" w:ascii="仿宋" w:hAnsi="仿宋" w:eastAsia="仿宋" w:cs="仿宋"/>
          <w:b/>
          <w:bCs/>
          <w:color w:val="000000"/>
          <w:sz w:val="32"/>
          <w:szCs w:val="32"/>
          <w:lang w:val="en-US" w:eastAsia="zh-CN"/>
        </w:rPr>
        <w:t>》</w:t>
      </w: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33B0B"/>
    <w:rsid w:val="0C062797"/>
    <w:rsid w:val="0D327FB7"/>
    <w:rsid w:val="17F4592C"/>
    <w:rsid w:val="1B373549"/>
    <w:rsid w:val="1C427E59"/>
    <w:rsid w:val="1E7A725B"/>
    <w:rsid w:val="27581370"/>
    <w:rsid w:val="288C0A69"/>
    <w:rsid w:val="2B107F82"/>
    <w:rsid w:val="32D34C54"/>
    <w:rsid w:val="39BE54DE"/>
    <w:rsid w:val="3A8E17A6"/>
    <w:rsid w:val="3C0C1663"/>
    <w:rsid w:val="42D64FB2"/>
    <w:rsid w:val="437134BC"/>
    <w:rsid w:val="47DB7C50"/>
    <w:rsid w:val="4D6A1E48"/>
    <w:rsid w:val="518B4B62"/>
    <w:rsid w:val="54233B0B"/>
    <w:rsid w:val="56D6241C"/>
    <w:rsid w:val="5868346F"/>
    <w:rsid w:val="5EE153CB"/>
    <w:rsid w:val="61DA3713"/>
    <w:rsid w:val="66075ED9"/>
    <w:rsid w:val="6CD0654A"/>
    <w:rsid w:val="6DEA06ED"/>
    <w:rsid w:val="70AE2739"/>
    <w:rsid w:val="74D832A5"/>
    <w:rsid w:val="76296D9D"/>
    <w:rsid w:val="7C47337E"/>
    <w:rsid w:val="7C923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widowControl/>
      <w:spacing w:before="240" w:after="60"/>
      <w:jc w:val="left"/>
      <w:outlineLvl w:val="2"/>
    </w:pPr>
    <w:rPr>
      <w:rFonts w:ascii="Calibri Light" w:hAnsi="Calibri Light" w:eastAsia="宋体"/>
      <w:b/>
      <w:bCs/>
      <w:kern w:val="0"/>
      <w:sz w:val="26"/>
      <w:szCs w:val="2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bCs/>
    </w:rPr>
  </w:style>
  <w:style w:type="character" w:customStyle="1" w:styleId="6">
    <w:name w:val="font41"/>
    <w:basedOn w:val="4"/>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2019-11-28T10:44:00Z</dcterms:created>
  <dc:creator>Administrator</dc:creator>
  <cp:lastModifiedBy>虎妈</cp:lastModifiedBy>
  <dcterms:modified xsi:type="dcterms:W3CDTF">2020-05-05T01:06:11Z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