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jc w:val="center"/>
        <w:textAlignment w:val="auto"/>
        <w:outlineLvl w:val="9"/>
        <w:rPr>
          <w:rFonts w:ascii="方正小标宋简体" w:eastAsia="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麦盖提县202</w:t>
      </w:r>
      <w:r>
        <w:rPr>
          <w:rFonts w:hint="eastAsia" w:ascii="方正小标宋_GBK" w:hAnsi="方正小标宋_GBK" w:eastAsia="方正小标宋_GBK" w:cs="方正小标宋_GBK"/>
          <w:b w:val="0"/>
          <w:bCs w:val="0"/>
          <w:color w:val="auto"/>
          <w:sz w:val="44"/>
          <w:szCs w:val="44"/>
          <w:highlight w:val="none"/>
          <w:lang w:val="en-US" w:eastAsia="zh-CN"/>
        </w:rPr>
        <w:t>5</w:t>
      </w:r>
      <w:r>
        <w:rPr>
          <w:rFonts w:hint="eastAsia" w:ascii="方正小标宋_GBK" w:hAnsi="方正小标宋_GBK" w:eastAsia="方正小标宋_GBK" w:cs="方正小标宋_GBK"/>
          <w:b w:val="0"/>
          <w:bCs w:val="0"/>
          <w:color w:val="auto"/>
          <w:sz w:val="44"/>
          <w:szCs w:val="44"/>
          <w:highlight w:val="none"/>
        </w:rPr>
        <w:t>年中央财政衔接推进乡村振兴补助资金</w:t>
      </w:r>
      <w:bookmarkStart w:id="66" w:name="_GoBack"/>
      <w:bookmarkEnd w:id="66"/>
      <w:r>
        <w:rPr>
          <w:rFonts w:hint="eastAsia" w:ascii="方正小标宋_GBK" w:hAnsi="方正小标宋_GBK" w:eastAsia="方正小标宋_GBK" w:cs="方正小标宋_GBK"/>
          <w:b w:val="0"/>
          <w:bCs w:val="0"/>
          <w:color w:val="auto"/>
          <w:sz w:val="44"/>
          <w:szCs w:val="44"/>
          <w:highlight w:val="none"/>
        </w:rPr>
        <w:t>项目实施方案</w:t>
      </w:r>
    </w:p>
    <w:p>
      <w:pPr>
        <w:keepNext w:val="0"/>
        <w:keepLines w:val="0"/>
        <w:pageBreakBefore w:val="0"/>
        <w:widowControl w:val="0"/>
        <w:kinsoku/>
        <w:wordWrap/>
        <w:overflowPunct/>
        <w:topLinePunct w:val="0"/>
        <w:bidi w:val="0"/>
        <w:snapToGrid/>
        <w:spacing w:line="570" w:lineRule="exact"/>
        <w:textAlignment w:val="auto"/>
        <w:outlineLvl w:val="9"/>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spacing w:line="570" w:lineRule="exact"/>
        <w:textAlignment w:val="auto"/>
        <w:outlineLvl w:val="9"/>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spacing w:line="570" w:lineRule="exact"/>
        <w:textAlignment w:val="auto"/>
        <w:outlineLvl w:val="9"/>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spacing w:line="570" w:lineRule="exact"/>
        <w:textAlignment w:val="auto"/>
        <w:outlineLvl w:val="9"/>
        <w:rPr>
          <w:rFonts w:ascii="方正小标宋简体" w:eastAsia="方正小标宋简体"/>
          <w:i w:val="0"/>
          <w:iCs w:val="0"/>
          <w:sz w:val="44"/>
          <w:szCs w:val="44"/>
          <w:highlight w:val="none"/>
        </w:rPr>
      </w:pPr>
    </w:p>
    <w:p>
      <w:pPr>
        <w:pStyle w:val="15"/>
        <w:keepNext w:val="0"/>
        <w:keepLines w:val="0"/>
        <w:pageBreakBefore w:val="0"/>
        <w:widowControl w:val="0"/>
        <w:kinsoku/>
        <w:wordWrap/>
        <w:overflowPunct/>
        <w:topLinePunct w:val="0"/>
        <w:bidi w:val="0"/>
        <w:snapToGrid/>
        <w:spacing w:line="570" w:lineRule="exact"/>
        <w:textAlignment w:val="auto"/>
        <w:outlineLvl w:val="9"/>
        <w:rPr>
          <w:rFonts w:ascii="方正小标宋简体" w:eastAsia="方正小标宋简体"/>
          <w:sz w:val="44"/>
          <w:szCs w:val="44"/>
          <w:highlight w:val="none"/>
        </w:rPr>
      </w:pPr>
    </w:p>
    <w:p>
      <w:pPr>
        <w:pStyle w:val="15"/>
        <w:keepNext w:val="0"/>
        <w:keepLines w:val="0"/>
        <w:pageBreakBefore w:val="0"/>
        <w:widowControl w:val="0"/>
        <w:kinsoku/>
        <w:wordWrap/>
        <w:overflowPunct/>
        <w:topLinePunct w:val="0"/>
        <w:bidi w:val="0"/>
        <w:snapToGrid/>
        <w:spacing w:line="570" w:lineRule="exact"/>
        <w:textAlignment w:val="auto"/>
        <w:outlineLvl w:val="9"/>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spacing w:line="570" w:lineRule="exact"/>
        <w:textAlignment w:val="auto"/>
        <w:outlineLvl w:val="9"/>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spacing w:line="570" w:lineRule="exact"/>
        <w:textAlignment w:val="auto"/>
        <w:outlineLvl w:val="9"/>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spacing w:line="570" w:lineRule="exact"/>
        <w:textAlignment w:val="auto"/>
        <w:outlineLvl w:val="9"/>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spacing w:line="570" w:lineRule="exact"/>
        <w:ind w:left="3526" w:leftChars="608" w:hanging="2249" w:hangingChars="70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b/>
          <w:bCs/>
          <w:color w:val="auto"/>
          <w:sz w:val="32"/>
          <w:szCs w:val="32"/>
          <w:highlight w:val="none"/>
        </w:rPr>
        <w:t>项</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目</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名</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称</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w:t>
      </w:r>
      <w:r>
        <w:rPr>
          <w:rFonts w:hint="eastAsia" w:ascii="方正仿宋_GBK" w:hAnsi="方正仿宋_GBK" w:eastAsia="方正仿宋_GBK" w:cs="方正仿宋_GBK"/>
          <w:color w:val="auto"/>
          <w:kern w:val="2"/>
          <w:sz w:val="32"/>
          <w:szCs w:val="32"/>
          <w:highlight w:val="none"/>
          <w:lang w:val="en-US" w:eastAsia="zh-CN" w:bidi="ar-SA"/>
        </w:rPr>
        <w:t>麦盖提县吐曼塔勒乡农村供水保障工程</w:t>
      </w:r>
    </w:p>
    <w:p>
      <w:pPr>
        <w:keepNext w:val="0"/>
        <w:keepLines w:val="0"/>
        <w:pageBreakBefore w:val="0"/>
        <w:widowControl w:val="0"/>
        <w:kinsoku/>
        <w:wordWrap/>
        <w:overflowPunct/>
        <w:topLinePunct w:val="0"/>
        <w:bidi w:val="0"/>
        <w:snapToGrid/>
        <w:spacing w:line="570" w:lineRule="exact"/>
        <w:ind w:firstLine="1285" w:firstLineChars="40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b/>
          <w:bCs/>
          <w:color w:val="auto"/>
          <w:sz w:val="32"/>
          <w:szCs w:val="32"/>
          <w:highlight w:val="none"/>
        </w:rPr>
        <w:t>项目主管单位：</w:t>
      </w:r>
      <w:r>
        <w:rPr>
          <w:rFonts w:hint="eastAsia" w:ascii="方正仿宋_GBK" w:hAnsi="方正仿宋_GBK" w:eastAsia="方正仿宋_GBK" w:cs="方正仿宋_GBK"/>
          <w:color w:val="auto"/>
          <w:kern w:val="2"/>
          <w:sz w:val="32"/>
          <w:szCs w:val="32"/>
          <w:highlight w:val="none"/>
          <w:lang w:val="en-US" w:eastAsia="zh-CN" w:bidi="ar-SA"/>
        </w:rPr>
        <w:t>麦盖提县水利局</w:t>
      </w:r>
    </w:p>
    <w:p>
      <w:pPr>
        <w:keepNext w:val="0"/>
        <w:keepLines w:val="0"/>
        <w:pageBreakBefore w:val="0"/>
        <w:widowControl w:val="0"/>
        <w:kinsoku/>
        <w:wordWrap/>
        <w:overflowPunct/>
        <w:topLinePunct w:val="0"/>
        <w:bidi w:val="0"/>
        <w:snapToGrid/>
        <w:spacing w:line="570" w:lineRule="exact"/>
        <w:ind w:firstLine="1285" w:firstLineChars="40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b/>
          <w:bCs/>
          <w:color w:val="auto"/>
          <w:sz w:val="32"/>
          <w:szCs w:val="32"/>
          <w:highlight w:val="none"/>
        </w:rPr>
        <w:t>项目实施单位：</w:t>
      </w:r>
      <w:r>
        <w:rPr>
          <w:rFonts w:hint="eastAsia" w:ascii="方正仿宋_GBK" w:hAnsi="方正仿宋_GBK" w:eastAsia="方正仿宋_GBK" w:cs="方正仿宋_GBK"/>
          <w:color w:val="auto"/>
          <w:kern w:val="2"/>
          <w:sz w:val="32"/>
          <w:szCs w:val="32"/>
          <w:highlight w:val="none"/>
          <w:lang w:val="en-US" w:eastAsia="zh-CN" w:bidi="ar-SA"/>
        </w:rPr>
        <w:t>麦盖提县农村饮水服务站</w:t>
      </w:r>
    </w:p>
    <w:p>
      <w:pPr>
        <w:keepNext w:val="0"/>
        <w:keepLines w:val="0"/>
        <w:pageBreakBefore w:val="0"/>
        <w:widowControl w:val="0"/>
        <w:kinsoku/>
        <w:wordWrap/>
        <w:overflowPunct/>
        <w:topLinePunct w:val="0"/>
        <w:bidi w:val="0"/>
        <w:snapToGrid/>
        <w:spacing w:line="570" w:lineRule="exact"/>
        <w:ind w:firstLine="1285" w:firstLineChars="40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b/>
          <w:bCs/>
          <w:color w:val="auto"/>
          <w:sz w:val="32"/>
          <w:szCs w:val="32"/>
          <w:highlight w:val="none"/>
        </w:rPr>
        <w:t>编</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制</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时</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间</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w:t>
      </w:r>
      <w:r>
        <w:rPr>
          <w:rFonts w:hint="eastAsia" w:ascii="方正仿宋_GBK" w:hAnsi="方正仿宋_GBK" w:eastAsia="方正仿宋_GBK" w:cs="方正仿宋_GBK"/>
          <w:color w:val="auto"/>
          <w:kern w:val="2"/>
          <w:sz w:val="32"/>
          <w:szCs w:val="32"/>
          <w:highlight w:val="none"/>
          <w:lang w:val="en-US" w:eastAsia="zh-CN" w:bidi="ar-SA"/>
        </w:rPr>
        <w:t>2025年2月</w:t>
      </w:r>
    </w:p>
    <w:p>
      <w:pPr>
        <w:pageBreakBefore w:val="0"/>
        <w:widowControl w:val="0"/>
        <w:kinsoku/>
        <w:wordWrap/>
        <w:overflowPunct/>
        <w:topLinePunct w:val="0"/>
        <w:bidi w:val="0"/>
        <w:snapToGrid/>
        <w:spacing w:line="570" w:lineRule="exact"/>
        <w:textAlignment w:val="auto"/>
        <w:rPr>
          <w:highlight w:val="none"/>
        </w:rPr>
      </w:pPr>
    </w:p>
    <w:p>
      <w:pPr>
        <w:keepNext/>
        <w:keepLines/>
        <w:pageBreakBefore w:val="0"/>
        <w:widowControl w:val="0"/>
        <w:kinsoku/>
        <w:wordWrap/>
        <w:overflowPunct/>
        <w:topLinePunct w:val="0"/>
        <w:autoSpaceDE/>
        <w:autoSpaceDN/>
        <w:bidi w:val="0"/>
        <w:adjustRightInd/>
        <w:snapToGrid/>
        <w:spacing w:line="570" w:lineRule="exact"/>
        <w:textAlignment w:val="auto"/>
        <w:outlineLvl w:val="9"/>
        <w:rPr>
          <w:highlight w:val="none"/>
        </w:rPr>
      </w:pPr>
    </w:p>
    <w:p>
      <w:pPr>
        <w:pStyle w:val="2"/>
        <w:pageBreakBefore w:val="0"/>
        <w:widowControl w:val="0"/>
        <w:kinsoku/>
        <w:wordWrap/>
        <w:overflowPunct/>
        <w:topLinePunct w:val="0"/>
        <w:bidi w:val="0"/>
        <w:snapToGrid/>
        <w:spacing w:line="570" w:lineRule="exact"/>
        <w:textAlignment w:val="auto"/>
      </w:pPr>
    </w:p>
    <w:p>
      <w:pPr>
        <w:pageBreakBefore w:val="0"/>
        <w:widowControl w:val="0"/>
        <w:kinsoku/>
        <w:wordWrap/>
        <w:overflowPunct/>
        <w:topLinePunct w:val="0"/>
        <w:bidi w:val="0"/>
        <w:snapToGrid/>
        <w:spacing w:line="570" w:lineRule="exact"/>
        <w:ind w:firstLine="400" w:firstLineChars="400"/>
        <w:textAlignment w:val="auto"/>
        <w:rPr>
          <w:rFonts w:ascii="方正黑体简体" w:hAnsi="方正黑体简体" w:eastAsia="方正黑体简体"/>
          <w:sz w:val="10"/>
          <w:szCs w:val="10"/>
          <w:highlight w:val="none"/>
        </w:rPr>
      </w:pPr>
    </w:p>
    <w:sdt>
      <w:sdtPr>
        <w:rPr>
          <w:rFonts w:ascii="宋体" w:hAnsi="宋体" w:eastAsia="宋体" w:cstheme="minorBidi"/>
          <w:kern w:val="2"/>
          <w:sz w:val="21"/>
          <w:szCs w:val="22"/>
          <w:highlight w:val="none"/>
          <w:lang w:val="en-US" w:eastAsia="zh-CN" w:bidi="ar-SA"/>
        </w:rPr>
        <w:id w:val="147480157"/>
        <w15:color w:val="DBDBDB"/>
        <w:docPartObj>
          <w:docPartGallery w:val="Table of Contents"/>
          <w:docPartUnique/>
        </w:docPartObj>
      </w:sdtPr>
      <w:sdtEndPr>
        <w:rPr>
          <w:rFonts w:ascii="方正小标宋简体" w:eastAsia="方正小标宋简体" w:hAnsiTheme="minorHAnsi" w:cstheme="minorBidi"/>
          <w:b/>
          <w:kern w:val="2"/>
          <w:sz w:val="22"/>
          <w:szCs w:val="22"/>
          <w:highlight w:val="none"/>
          <w:lang w:val="en-US" w:eastAsia="zh-CN" w:bidi="ar-SA"/>
        </w:rPr>
      </w:sdtEndPr>
      <w:sdtContent>
        <w:p>
          <w:pPr>
            <w:pageBreakBefore w:val="0"/>
            <w:widowControl w:val="0"/>
            <w:kinsoku/>
            <w:wordWrap/>
            <w:overflowPunct/>
            <w:topLinePunct w:val="0"/>
            <w:bidi w:val="0"/>
            <w:snapToGrid/>
            <w:spacing w:before="0" w:beforeLines="0" w:after="0" w:afterLines="0" w:line="570" w:lineRule="exact"/>
            <w:ind w:left="0" w:leftChars="0" w:right="0" w:rightChars="0" w:firstLine="0" w:firstLineChars="0"/>
            <w:jc w:val="center"/>
            <w:textAlignment w:val="auto"/>
            <w:rPr>
              <w:highlight w:val="none"/>
            </w:rPr>
          </w:pPr>
          <w:bookmarkStart w:id="0" w:name="_Toc16776"/>
          <w:bookmarkStart w:id="1" w:name="_Toc3337"/>
          <w:bookmarkStart w:id="2" w:name="_Toc3070"/>
        </w:p>
      </w:sdtContent>
    </w:sdt>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小标宋_GBK" w:hAnsi="方正小标宋_GBK" w:eastAsia="方正小标宋_GBK" w:cs="方正小标宋_GBK"/>
          <w:b w:val="0"/>
          <w:bCs w:val="0"/>
          <w:color w:val="auto"/>
          <w:spacing w:val="6"/>
          <w:sz w:val="40"/>
          <w:szCs w:val="40"/>
          <w:highlight w:val="none"/>
          <w:lang w:eastAsia="zh-CN"/>
        </w:rPr>
      </w:pPr>
      <w:r>
        <w:rPr>
          <w:rFonts w:hint="eastAsia" w:ascii="方正小标宋_GBK" w:hAnsi="方正小标宋_GBK" w:eastAsia="方正小标宋_GBK" w:cs="方正小标宋_GBK"/>
          <w:b w:val="0"/>
          <w:bCs w:val="0"/>
          <w:color w:val="auto"/>
          <w:spacing w:val="6"/>
          <w:sz w:val="40"/>
          <w:szCs w:val="40"/>
          <w:highlight w:val="none"/>
          <w:lang w:eastAsia="zh-CN"/>
        </w:rPr>
        <w:t>麦盖提县吐曼塔勒乡农村供水保障工程</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方正小标宋_GBK" w:hAnsi="方正小标宋_GBK" w:eastAsia="方正小标宋_GBK" w:cs="方正小标宋_GBK"/>
          <w:b w:val="0"/>
          <w:bCs w:val="0"/>
          <w:color w:val="auto"/>
          <w:spacing w:val="6"/>
          <w:sz w:val="40"/>
          <w:szCs w:val="40"/>
          <w:highlight w:val="none"/>
          <w:lang w:eastAsia="zh-CN"/>
        </w:rPr>
      </w:pPr>
      <w:r>
        <w:rPr>
          <w:rFonts w:hint="eastAsia" w:ascii="方正小标宋_GBK" w:hAnsi="方正小标宋_GBK" w:eastAsia="方正小标宋_GBK" w:cs="方正小标宋_GBK"/>
          <w:b w:val="0"/>
          <w:bCs w:val="0"/>
          <w:color w:val="auto"/>
          <w:spacing w:val="6"/>
          <w:sz w:val="40"/>
          <w:szCs w:val="40"/>
          <w:highlight w:val="none"/>
          <w:lang w:eastAsia="zh-CN"/>
        </w:rPr>
        <w:t>实施方案</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jc w:val="both"/>
        <w:textAlignment w:val="auto"/>
        <w:outlineLvl w:val="0"/>
        <w:rPr>
          <w:rFonts w:hint="eastAsia" w:ascii="方正黑体_GBK" w:hAnsi="方正黑体_GBK" w:eastAsia="方正黑体_GBK" w:cs="方正黑体_GBK"/>
          <w:b w:val="0"/>
          <w:bCs w:val="0"/>
          <w:color w:val="auto"/>
          <w:spacing w:val="6"/>
          <w:sz w:val="32"/>
          <w:szCs w:val="32"/>
          <w:highlight w:val="none"/>
          <w:lang w:val="en-US" w:eastAsia="zh-CN"/>
        </w:rPr>
      </w:pPr>
      <w:bookmarkStart w:id="3" w:name="_Toc1942"/>
      <w:bookmarkStart w:id="4" w:name="_Toc18530"/>
      <w:r>
        <w:rPr>
          <w:rFonts w:hint="eastAsia" w:ascii="方正黑体_GBK" w:hAnsi="方正黑体_GBK" w:eastAsia="方正黑体_GBK" w:cs="方正黑体_GBK"/>
          <w:b w:val="0"/>
          <w:bCs w:val="0"/>
          <w:color w:val="auto"/>
          <w:spacing w:val="6"/>
          <w:sz w:val="32"/>
          <w:szCs w:val="32"/>
          <w:highlight w:val="none"/>
          <w:lang w:val="en-US" w:eastAsia="zh-CN"/>
        </w:rPr>
        <w:t>1.基本情况</w:t>
      </w:r>
      <w:bookmarkEnd w:id="3"/>
      <w:bookmarkEnd w:id="4"/>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bookmarkStart w:id="5" w:name="_Toc31392"/>
      <w:bookmarkStart w:id="6" w:name="_Toc7526"/>
      <w:r>
        <w:rPr>
          <w:rFonts w:hint="eastAsia" w:ascii="方正楷体_GBK" w:hAnsi="方正楷体_GBK" w:eastAsia="方正楷体_GBK" w:cs="方正楷体_GBK"/>
          <w:b/>
          <w:bCs/>
          <w:color w:val="auto"/>
          <w:spacing w:val="6"/>
          <w:sz w:val="32"/>
          <w:szCs w:val="32"/>
          <w:highlight w:val="none"/>
          <w:lang w:val="en-US" w:eastAsia="zh-CN"/>
        </w:rPr>
        <w:t>1.1项目库编号</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default"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MGT030</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r>
        <w:rPr>
          <w:rFonts w:hint="eastAsia" w:ascii="方正楷体_GBK" w:hAnsi="方正楷体_GBK" w:eastAsia="方正楷体_GBK" w:cs="方正楷体_GBK"/>
          <w:b/>
          <w:bCs/>
          <w:color w:val="auto"/>
          <w:spacing w:val="6"/>
          <w:sz w:val="32"/>
          <w:szCs w:val="32"/>
          <w:highlight w:val="none"/>
          <w:lang w:val="en-US" w:eastAsia="zh-CN"/>
        </w:rPr>
        <w:t>1.2项目名称</w:t>
      </w:r>
      <w:bookmarkEnd w:id="5"/>
      <w:bookmarkEnd w:id="6"/>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麦盖提县吐曼塔勒乡农村供水保障工程</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bookmarkStart w:id="7" w:name="_Toc24726"/>
      <w:bookmarkStart w:id="8" w:name="_Toc10134"/>
      <w:r>
        <w:rPr>
          <w:rFonts w:hint="eastAsia" w:ascii="方正楷体_GBK" w:hAnsi="方正楷体_GBK" w:eastAsia="方正楷体_GBK" w:cs="方正楷体_GBK"/>
          <w:b/>
          <w:bCs/>
          <w:color w:val="auto"/>
          <w:spacing w:val="6"/>
          <w:sz w:val="32"/>
          <w:szCs w:val="32"/>
          <w:highlight w:val="none"/>
          <w:lang w:val="en-US" w:eastAsia="zh-CN"/>
        </w:rPr>
        <w:t>1.3项目主管单位</w:t>
      </w:r>
      <w:bookmarkEnd w:id="7"/>
      <w:bookmarkEnd w:id="8"/>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bookmarkStart w:id="9" w:name="_Toc1382"/>
      <w:bookmarkStart w:id="10" w:name="_Toc5224"/>
      <w:r>
        <w:rPr>
          <w:rFonts w:hint="eastAsia" w:ascii="方正仿宋_GBK" w:hAnsi="方正仿宋_GBK" w:eastAsia="方正仿宋_GBK" w:cs="方正仿宋_GBK"/>
          <w:color w:val="auto"/>
          <w:spacing w:val="6"/>
          <w:kern w:val="2"/>
          <w:sz w:val="32"/>
          <w:szCs w:val="32"/>
          <w:highlight w:val="none"/>
          <w:lang w:val="en-US" w:eastAsia="zh-CN" w:bidi="ar-SA"/>
        </w:rPr>
        <w:t>麦盖提县水利局</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r>
        <w:rPr>
          <w:rFonts w:hint="eastAsia" w:ascii="方正楷体_GBK" w:hAnsi="方正楷体_GBK" w:eastAsia="方正楷体_GBK" w:cs="方正楷体_GBK"/>
          <w:b/>
          <w:bCs/>
          <w:color w:val="auto"/>
          <w:spacing w:val="6"/>
          <w:sz w:val="32"/>
          <w:szCs w:val="32"/>
          <w:highlight w:val="none"/>
          <w:lang w:val="en-US" w:eastAsia="zh-CN"/>
        </w:rPr>
        <w:t>1.4项目实施单位</w:t>
      </w:r>
      <w:bookmarkEnd w:id="9"/>
      <w:bookmarkEnd w:id="10"/>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bookmarkStart w:id="11" w:name="_Toc5901"/>
      <w:bookmarkStart w:id="12" w:name="_Toc26623"/>
      <w:r>
        <w:rPr>
          <w:rFonts w:hint="eastAsia" w:ascii="方正仿宋_GBK" w:hAnsi="方正仿宋_GBK" w:eastAsia="方正仿宋_GBK" w:cs="方正仿宋_GBK"/>
          <w:color w:val="auto"/>
          <w:spacing w:val="6"/>
          <w:kern w:val="2"/>
          <w:sz w:val="32"/>
          <w:szCs w:val="32"/>
          <w:highlight w:val="none"/>
          <w:lang w:val="en-US" w:eastAsia="zh-CN" w:bidi="ar-SA"/>
        </w:rPr>
        <w:t>麦盖提县农村饮水服务站</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r>
        <w:rPr>
          <w:rFonts w:hint="eastAsia" w:ascii="方正楷体_GBK" w:hAnsi="方正楷体_GBK" w:eastAsia="方正楷体_GBK" w:cs="方正楷体_GBK"/>
          <w:b/>
          <w:bCs/>
          <w:color w:val="auto"/>
          <w:spacing w:val="6"/>
          <w:sz w:val="32"/>
          <w:szCs w:val="32"/>
          <w:highlight w:val="none"/>
          <w:lang w:val="en-US" w:eastAsia="zh-CN"/>
        </w:rPr>
        <w:t>1.5项目建设性质</w:t>
      </w:r>
      <w:bookmarkEnd w:id="11"/>
      <w:bookmarkEnd w:id="12"/>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jc w:val="both"/>
        <w:textAlignment w:val="auto"/>
        <w:outlineLvl w:val="1"/>
        <w:rPr>
          <w:rFonts w:hint="eastAsia" w:ascii="方正仿宋_GBK" w:hAnsi="方正仿宋_GBK" w:eastAsia="方正仿宋_GBK" w:cs="方正仿宋_GBK"/>
          <w:color w:val="auto"/>
          <w:spacing w:val="6"/>
          <w:kern w:val="2"/>
          <w:sz w:val="32"/>
          <w:szCs w:val="32"/>
          <w:highlight w:val="none"/>
          <w:lang w:val="en-US" w:eastAsia="zh-CN" w:bidi="ar-SA"/>
        </w:rPr>
      </w:pPr>
      <w:bookmarkStart w:id="13" w:name="_Toc18627"/>
      <w:bookmarkStart w:id="14" w:name="_Toc5444"/>
      <w:r>
        <w:rPr>
          <w:rFonts w:hint="eastAsia" w:ascii="方正仿宋_GBK" w:hAnsi="方正仿宋_GBK" w:eastAsia="方正仿宋_GBK" w:cs="方正仿宋_GBK"/>
          <w:color w:val="auto"/>
          <w:spacing w:val="6"/>
          <w:kern w:val="2"/>
          <w:sz w:val="32"/>
          <w:szCs w:val="32"/>
          <w:highlight w:val="none"/>
          <w:lang w:val="en-US" w:eastAsia="zh-CN" w:bidi="ar-SA"/>
        </w:rPr>
        <w:t>改建</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r>
        <w:rPr>
          <w:rFonts w:hint="eastAsia" w:ascii="方正楷体_GBK" w:hAnsi="方正楷体_GBK" w:eastAsia="方正楷体_GBK" w:cs="方正楷体_GBK"/>
          <w:b/>
          <w:bCs/>
          <w:color w:val="auto"/>
          <w:spacing w:val="6"/>
          <w:sz w:val="32"/>
          <w:szCs w:val="32"/>
          <w:highlight w:val="none"/>
          <w:lang w:val="en-US" w:eastAsia="zh-CN"/>
        </w:rPr>
        <w:t>1.6项目类别</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农村饮水安全项目</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r>
        <w:rPr>
          <w:rFonts w:hint="eastAsia" w:ascii="方正楷体_GBK" w:hAnsi="方正楷体_GBK" w:eastAsia="方正楷体_GBK" w:cs="方正楷体_GBK"/>
          <w:b/>
          <w:bCs/>
          <w:color w:val="auto"/>
          <w:spacing w:val="6"/>
          <w:sz w:val="32"/>
          <w:szCs w:val="32"/>
          <w:highlight w:val="none"/>
          <w:lang w:val="en-US" w:eastAsia="zh-CN"/>
        </w:rPr>
        <w:t>1.7 项目建设内容</w:t>
      </w:r>
      <w:bookmarkEnd w:id="13"/>
      <w:bookmarkEnd w:id="14"/>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本项目主要用于麦盖提县吐曼塔勒乡更换输配水管道125.7千米，新建配套闸阀井51座。</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bookmarkStart w:id="15" w:name="_Toc32191"/>
      <w:bookmarkStart w:id="16" w:name="_Toc7352"/>
      <w:r>
        <w:rPr>
          <w:rFonts w:hint="eastAsia" w:ascii="方正楷体_GBK" w:hAnsi="方正楷体_GBK" w:eastAsia="方正楷体_GBK" w:cs="方正楷体_GBK"/>
          <w:b/>
          <w:bCs/>
          <w:color w:val="auto"/>
          <w:spacing w:val="6"/>
          <w:sz w:val="32"/>
          <w:szCs w:val="32"/>
          <w:highlight w:val="none"/>
          <w:lang w:val="en-US" w:eastAsia="zh-CN"/>
        </w:rPr>
        <w:t>1.8项目建设期限</w:t>
      </w:r>
      <w:bookmarkEnd w:id="15"/>
      <w:bookmarkEnd w:id="16"/>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default"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本项目计划于2025年3月开工，2025年7月完工。</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bookmarkStart w:id="17" w:name="_Toc3749"/>
      <w:bookmarkStart w:id="18" w:name="_Toc19938"/>
      <w:r>
        <w:rPr>
          <w:rFonts w:hint="eastAsia" w:ascii="方正楷体_GBK" w:hAnsi="方正楷体_GBK" w:eastAsia="方正楷体_GBK" w:cs="方正楷体_GBK"/>
          <w:b/>
          <w:bCs/>
          <w:color w:val="auto"/>
          <w:spacing w:val="6"/>
          <w:sz w:val="32"/>
          <w:szCs w:val="32"/>
          <w:highlight w:val="none"/>
          <w:lang w:val="en-US" w:eastAsia="zh-CN"/>
        </w:rPr>
        <w:t>1.9项目建设地点及基本情况</w:t>
      </w:r>
      <w:bookmarkEnd w:id="17"/>
      <w:bookmarkEnd w:id="18"/>
    </w:p>
    <w:p>
      <w:pPr>
        <w:pStyle w:val="17"/>
        <w:keepNext w:val="0"/>
        <w:keepLines w:val="0"/>
        <w:pageBreakBefore w:val="0"/>
        <w:kinsoku/>
        <w:wordWrap/>
        <w:overflowPunct/>
        <w:topLinePunct w:val="0"/>
        <w:autoSpaceDE/>
        <w:autoSpaceDN/>
        <w:bidi w:val="0"/>
        <w:adjustRightInd/>
        <w:snapToGrid w:val="0"/>
        <w:spacing w:line="570" w:lineRule="exact"/>
        <w:ind w:firstLine="664"/>
        <w:textAlignment w:val="baseline"/>
        <w:rPr>
          <w:rFonts w:hint="default" w:ascii="Times New Roman" w:hAnsi="Times New Roman" w:eastAsia="方正仿宋_GBK" w:cs="方正仿宋_GBK"/>
          <w:b/>
          <w:bCs/>
          <w:spacing w:val="6"/>
          <w:sz w:val="32"/>
          <w:szCs w:val="32"/>
          <w:highlight w:val="none"/>
          <w:lang w:val="en-US" w:eastAsia="zh-CN"/>
        </w:rPr>
      </w:pPr>
      <w:r>
        <w:rPr>
          <w:rFonts w:hint="eastAsia" w:ascii="Times New Roman" w:hAnsi="Times New Roman" w:eastAsia="方正仿宋_GBK" w:cs="方正仿宋_GBK"/>
          <w:b/>
          <w:bCs/>
          <w:spacing w:val="6"/>
          <w:sz w:val="32"/>
          <w:szCs w:val="32"/>
          <w:highlight w:val="none"/>
          <w:lang w:val="en-US" w:eastAsia="zh-CN"/>
        </w:rPr>
        <w:t>1.9.1项目建设地点</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麦盖提县吐曼塔勒乡</w:t>
      </w:r>
    </w:p>
    <w:p>
      <w:pPr>
        <w:pStyle w:val="17"/>
        <w:keepNext w:val="0"/>
        <w:keepLines w:val="0"/>
        <w:pageBreakBefore w:val="0"/>
        <w:kinsoku/>
        <w:wordWrap/>
        <w:overflowPunct/>
        <w:topLinePunct w:val="0"/>
        <w:autoSpaceDE/>
        <w:autoSpaceDN/>
        <w:bidi w:val="0"/>
        <w:adjustRightInd/>
        <w:snapToGrid w:val="0"/>
        <w:spacing w:line="570" w:lineRule="exact"/>
        <w:ind w:firstLine="664"/>
        <w:textAlignment w:val="baseline"/>
        <w:rPr>
          <w:rFonts w:hint="default" w:ascii="Times New Roman" w:hAnsi="Times New Roman" w:eastAsia="方正仿宋_GBK" w:cs="方正仿宋_GBK"/>
          <w:b/>
          <w:bCs/>
          <w:spacing w:val="6"/>
          <w:sz w:val="32"/>
          <w:szCs w:val="32"/>
          <w:highlight w:val="none"/>
          <w:lang w:val="en-US" w:eastAsia="zh-CN"/>
        </w:rPr>
      </w:pPr>
      <w:r>
        <w:rPr>
          <w:rFonts w:hint="eastAsia" w:ascii="Times New Roman" w:hAnsi="Times New Roman" w:eastAsia="方正仿宋_GBK" w:cs="方正仿宋_GBK"/>
          <w:b/>
          <w:bCs/>
          <w:spacing w:val="6"/>
          <w:sz w:val="32"/>
          <w:szCs w:val="32"/>
          <w:highlight w:val="none"/>
          <w:lang w:val="en-US" w:eastAsia="zh-CN"/>
        </w:rPr>
        <w:t>1.9.2基本情况</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麦盖提县位于新疆西南边陲，塔克拉玛干大沙漠西南边缘，位于叶尔羌河和提孜那甫河灌区的中、下游，南临莎车县，西接岳普湖县、牌楼苏帕墩村，北靠巴楚县，距喀什市175km。地处东经77°22′-79°12′，北纬38°23′-39°26′之间。全县地势由西南向东北缓慢倾斜，地面坡降在1/2000—1/3500之间，南北宽136km，东西长160km，总面积为15200km</w:t>
      </w:r>
      <w:r>
        <w:rPr>
          <w:rFonts w:hint="eastAsia" w:ascii="方正仿宋_GBK" w:hAnsi="方正仿宋_GBK" w:eastAsia="方正仿宋_GBK" w:cs="方正仿宋_GBK"/>
          <w:color w:val="auto"/>
          <w:spacing w:val="6"/>
          <w:kern w:val="2"/>
          <w:sz w:val="32"/>
          <w:szCs w:val="32"/>
          <w:highlight w:val="none"/>
          <w:vertAlign w:val="superscript"/>
          <w:lang w:val="en-US" w:eastAsia="zh-CN" w:bidi="ar-SA"/>
        </w:rPr>
        <w:t>2</w:t>
      </w:r>
      <w:r>
        <w:rPr>
          <w:rFonts w:hint="eastAsia" w:ascii="方正仿宋_GBK" w:hAnsi="方正仿宋_GBK" w:eastAsia="方正仿宋_GBK" w:cs="方正仿宋_GBK"/>
          <w:color w:val="auto"/>
          <w:spacing w:val="6"/>
          <w:kern w:val="2"/>
          <w:sz w:val="32"/>
          <w:szCs w:val="32"/>
          <w:highlight w:val="none"/>
          <w:lang w:val="en-US" w:eastAsia="zh-CN" w:bidi="ar-SA"/>
        </w:rPr>
        <w:t>。麦盖提县辖2个镇、8个乡，另辖2个农林场。</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吐曼塔勒乡地处麦盖提县东北部，东与新疆生产建设兵团第三师四十五团相连，南与央塔克乡相邻，西以叶尔羌河为界与巴楚县英吾斯坦乡隔河相望，北与库尔玛乡相交，距麦盖提县城38km。</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jc w:val="both"/>
        <w:textAlignment w:val="auto"/>
        <w:outlineLvl w:val="0"/>
        <w:rPr>
          <w:rFonts w:hint="eastAsia" w:ascii="方正黑体_GBK" w:hAnsi="方正黑体_GBK" w:eastAsia="方正黑体_GBK" w:cs="方正黑体_GBK"/>
          <w:b w:val="0"/>
          <w:bCs w:val="0"/>
          <w:color w:val="auto"/>
          <w:spacing w:val="6"/>
          <w:sz w:val="32"/>
          <w:szCs w:val="32"/>
          <w:highlight w:val="none"/>
          <w:lang w:val="en-US" w:eastAsia="zh-CN"/>
        </w:rPr>
      </w:pPr>
      <w:bookmarkStart w:id="19" w:name="_Toc9747"/>
      <w:bookmarkStart w:id="20" w:name="_Toc1043"/>
      <w:r>
        <w:rPr>
          <w:rFonts w:hint="eastAsia" w:ascii="方正黑体_GBK" w:hAnsi="方正黑体_GBK" w:eastAsia="方正黑体_GBK" w:cs="方正黑体_GBK"/>
          <w:b w:val="0"/>
          <w:bCs w:val="0"/>
          <w:color w:val="auto"/>
          <w:spacing w:val="6"/>
          <w:sz w:val="32"/>
          <w:szCs w:val="32"/>
          <w:highlight w:val="none"/>
          <w:lang w:val="en-US" w:eastAsia="zh-CN"/>
        </w:rPr>
        <w:t>2.项目立项情况</w:t>
      </w:r>
      <w:bookmarkEnd w:id="19"/>
      <w:bookmarkEnd w:id="20"/>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bookmarkStart w:id="21" w:name="_Toc21917"/>
      <w:bookmarkStart w:id="22" w:name="_Toc11998"/>
      <w:r>
        <w:rPr>
          <w:rFonts w:hint="eastAsia" w:ascii="方正楷体_GBK" w:hAnsi="方正楷体_GBK" w:eastAsia="方正楷体_GBK" w:cs="方正楷体_GBK"/>
          <w:b/>
          <w:bCs/>
          <w:color w:val="auto"/>
          <w:spacing w:val="6"/>
          <w:sz w:val="32"/>
          <w:szCs w:val="32"/>
          <w:highlight w:val="none"/>
          <w:lang w:val="en-US" w:eastAsia="zh-CN"/>
        </w:rPr>
        <w:t>2.1项目建设依据</w:t>
      </w:r>
      <w:bookmarkEnd w:id="21"/>
      <w:bookmarkEnd w:id="22"/>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bookmarkStart w:id="23" w:name="_Toc1834"/>
      <w:bookmarkStart w:id="24" w:name="_Toc10457"/>
      <w:r>
        <w:rPr>
          <w:rFonts w:hint="eastAsia" w:ascii="方正仿宋_GBK" w:hAnsi="方正仿宋_GBK" w:eastAsia="方正仿宋_GBK" w:cs="方正仿宋_GBK"/>
          <w:color w:val="auto"/>
          <w:spacing w:val="6"/>
          <w:kern w:val="2"/>
          <w:sz w:val="32"/>
          <w:szCs w:val="32"/>
          <w:highlight w:val="none"/>
          <w:lang w:val="en-US" w:eastAsia="zh-CN" w:bidi="ar-SA"/>
        </w:rPr>
        <w:t>党中央、国务院高度重视农村供水工作，自2005年国家实施农村供水工程建设以来，农村供水保障能力得到快速提高，农村居民饮水条件得到显著改善，城乡供水差距进一步缩小。“十四五”时期，国家实施乡村振兴战略和城乡融合发展对农村供水提出了新的要求：一是村庄及人口布局变化、农村人居环境改善和农村改厕，以及产业发展要求提高供水能力和保障水平。二是满足人民群众对美好生活的向往需逐步提升现行标准。但由于我国国情、水情和区域发展不平衡，农村供水整体仍处于初级阶段，与实施乡村振兴战略的要求还不适应，在供水保障程度、供水质量和服务水平、建管体制机制和信息化管理水平等方面亟待提升和加强。</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根据“十四五”规划的要求，进一步提高麦盖提县农村供水保证率、水质达标率、自来水入户率和工程运行管理水平；全面完成农村水源地保护，完成农村水价改革与运行管护机制落实，实现农村供水运行维护信息化，建立完善“从源头到龙头”全流程的农村安全供水体系。</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麦盖提县“十四五”农村供水规划按照乡村振兴梯次推进的总体部署，积极推进农村供水工程规模化建设和升级改造。以建立合理水价机制为重点，全面建立长效运行管理机制，提升农村供水管理服务水平。按照城乡融合发展要求和村庄规划布局，统筹规划，尽力而为，量力而行，优化农村供水格局。采取“抓两头带中间”的方式，实施规模化工程建设和升级改造，充分利用大水源、大水厂以及现有供水设施和输配水管网，全县推进规模化工程（城乡一体化和万人工程）建设。因地制宜推进小型工程规范化建设和改造。通过“两头”一挤，带动“中间”，突出体制机制完善和“建大、并中、减小”，提升工程建设和管理水平。</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在“十四五”期间，麦盖提县农村供水“十四五”规划改造工程6处：“麦盖提县城乡一体化供水工程”、“麦盖提县巴扎结米镇、库木库萨尔乡农村供水保障工程”、“麦盖提县希依提墩乡农村供水保障工程”、“麦盖提县央塔克乡、昂格特勒克乡农村供水保障工程”、“麦盖提县尕孜库勒乡、克孜勒阿瓦提乡农村供水保障工程”、“麦盖提县吐曼塔勒乡、库尔玛乡农村供水保障工程”。本工程属于吐曼塔勒乡农村供水保障工程。</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r>
        <w:rPr>
          <w:rFonts w:hint="eastAsia" w:ascii="方正楷体_GBK" w:hAnsi="方正楷体_GBK" w:eastAsia="方正楷体_GBK" w:cs="方正楷体_GBK"/>
          <w:b/>
          <w:bCs/>
          <w:color w:val="auto"/>
          <w:spacing w:val="6"/>
          <w:sz w:val="32"/>
          <w:szCs w:val="32"/>
          <w:highlight w:val="none"/>
          <w:lang w:val="en-US" w:eastAsia="zh-CN"/>
        </w:rPr>
        <w:t>2.2项目建设的必要性和可行性</w:t>
      </w:r>
      <w:bookmarkEnd w:id="23"/>
      <w:bookmarkEnd w:id="24"/>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bookmarkStart w:id="25" w:name="_Toc31146"/>
      <w:bookmarkStart w:id="26" w:name="_Toc11018"/>
      <w:r>
        <w:rPr>
          <w:rFonts w:hint="eastAsia" w:ascii="方正仿宋_GBK" w:hAnsi="方正仿宋_GBK" w:eastAsia="方正仿宋_GBK" w:cs="方正仿宋_GBK"/>
          <w:color w:val="auto"/>
          <w:spacing w:val="6"/>
          <w:kern w:val="2"/>
          <w:sz w:val="32"/>
          <w:szCs w:val="32"/>
          <w:highlight w:val="none"/>
          <w:lang w:val="en-US" w:eastAsia="zh-CN" w:bidi="ar-SA"/>
        </w:rPr>
        <w:t>2018年，麦盖提县实施吐曼塔勒乡、库尔玛乡农村饮水安全巩固提升工程，对原有供水工程进行改扩建，利用吉仁力玛水库放水渠0+150节制分水闸处取水首部取水输送至吐曼塔勒乡、库尔玛乡水厂，经常规处理消毒后，加压向吐曼塔勒乡、库尔玛乡各村配水。吐曼塔勒乡、库尔玛乡水厂供水区域覆盖两个乡24个村庄及乡政府，供水人口41318人，设计日最高供水量5703.01m</w:t>
      </w:r>
      <w:r>
        <w:rPr>
          <w:rFonts w:hint="eastAsia" w:ascii="方正仿宋_GBK" w:hAnsi="方正仿宋_GBK" w:eastAsia="方正仿宋_GBK" w:cs="方正仿宋_GBK"/>
          <w:color w:val="auto"/>
          <w:spacing w:val="6"/>
          <w:kern w:val="2"/>
          <w:sz w:val="32"/>
          <w:szCs w:val="32"/>
          <w:highlight w:val="none"/>
          <w:vertAlign w:val="superscript"/>
          <w:lang w:val="en-US" w:eastAsia="zh-CN" w:bidi="ar-SA"/>
        </w:rPr>
        <w:t>3</w:t>
      </w:r>
      <w:r>
        <w:rPr>
          <w:rFonts w:hint="eastAsia" w:ascii="方正仿宋_GBK" w:hAnsi="方正仿宋_GBK" w:eastAsia="方正仿宋_GBK" w:cs="方正仿宋_GBK"/>
          <w:color w:val="auto"/>
          <w:spacing w:val="6"/>
          <w:kern w:val="2"/>
          <w:sz w:val="32"/>
          <w:szCs w:val="32"/>
          <w:highlight w:val="none"/>
          <w:lang w:val="en-US" w:eastAsia="zh-CN" w:bidi="ar-SA"/>
        </w:rPr>
        <w:t>。该工程通过建设安全、可靠的水源工程，更换老化配水管道，对供水工程进行巩固提升建设。</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随着乡村振兴全面推进、产业发展、新农村建设对供水保障的要求，吐曼塔勒乡、库尔玛乡水厂供水片区仍存在一些短板和不足。一是该项目区早期的PVC管道老化破损严重，跑冒滴漏现象突出，附属建筑物配套不完善，加之乡镇对林床、道路改建导致管道埋深不足，造成冬季管道冻胀；二是水源地和水厂水质、流量监测仪器配备不完善，缺少管道末梢压力和水质监测设备，无法实时监控管网末梢运行状况。</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项目实施后进一步提升吐曼塔勒乡15个行政村44775人农村居民的供水保障水平，为巩固拓展脱贫攻坚农村供水成果，助力推进乡村振兴提供供水保障，实施本工程是十分必要的，也是可行的。</w:t>
      </w:r>
    </w:p>
    <w:bookmarkEnd w:id="25"/>
    <w:bookmarkEnd w:id="26"/>
    <w:p>
      <w:pPr>
        <w:keepNext w:val="0"/>
        <w:keepLines w:val="0"/>
        <w:pageBreakBefore w:val="0"/>
        <w:widowControl w:val="0"/>
        <w:kinsoku/>
        <w:wordWrap/>
        <w:overflowPunct/>
        <w:topLinePunct w:val="0"/>
        <w:autoSpaceDE/>
        <w:autoSpaceDN/>
        <w:bidi w:val="0"/>
        <w:adjustRightInd/>
        <w:snapToGrid/>
        <w:spacing w:line="570" w:lineRule="exact"/>
        <w:ind w:firstLine="664" w:firstLineChars="200"/>
        <w:jc w:val="both"/>
        <w:textAlignment w:val="auto"/>
        <w:outlineLvl w:val="0"/>
        <w:rPr>
          <w:rFonts w:hint="eastAsia" w:ascii="方正黑体_GBK" w:hAnsi="方正黑体_GBK" w:eastAsia="方正黑体_GBK" w:cs="方正黑体_GBK"/>
          <w:b w:val="0"/>
          <w:bCs w:val="0"/>
          <w:color w:val="auto"/>
          <w:spacing w:val="6"/>
          <w:sz w:val="32"/>
          <w:szCs w:val="32"/>
          <w:highlight w:val="none"/>
          <w:lang w:val="en-US" w:eastAsia="zh-CN"/>
        </w:rPr>
      </w:pPr>
      <w:bookmarkStart w:id="27" w:name="_Toc28816"/>
      <w:bookmarkStart w:id="28" w:name="_Toc3197"/>
      <w:r>
        <w:rPr>
          <w:rFonts w:hint="eastAsia" w:ascii="方正黑体_GBK" w:hAnsi="方正黑体_GBK" w:eastAsia="方正黑体_GBK" w:cs="方正黑体_GBK"/>
          <w:b w:val="0"/>
          <w:bCs w:val="0"/>
          <w:color w:val="auto"/>
          <w:spacing w:val="6"/>
          <w:sz w:val="32"/>
          <w:szCs w:val="32"/>
          <w:highlight w:val="none"/>
          <w:lang w:val="en-US" w:eastAsia="zh-CN"/>
        </w:rPr>
        <w:t>3.施工设计（设计或技术方案）</w:t>
      </w:r>
      <w:bookmarkEnd w:id="27"/>
      <w:bookmarkEnd w:id="28"/>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bookmarkStart w:id="29" w:name="_Toc23807"/>
      <w:bookmarkStart w:id="30" w:name="_Toc28398"/>
      <w:r>
        <w:rPr>
          <w:rFonts w:hint="eastAsia" w:ascii="方正楷体_GBK" w:hAnsi="方正楷体_GBK" w:eastAsia="方正楷体_GBK" w:cs="方正楷体_GBK"/>
          <w:b/>
          <w:bCs/>
          <w:color w:val="auto"/>
          <w:spacing w:val="6"/>
          <w:sz w:val="32"/>
          <w:szCs w:val="32"/>
          <w:highlight w:val="none"/>
          <w:lang w:val="en-US" w:eastAsia="zh-CN"/>
        </w:rPr>
        <w:t>3.1项目设计（技术依据）</w:t>
      </w:r>
      <w:bookmarkEnd w:id="29"/>
      <w:bookmarkEnd w:id="30"/>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7" w:firstLineChars="200"/>
        <w:textAlignment w:val="auto"/>
        <w:outlineLvl w:val="9"/>
        <w:rPr>
          <w:rFonts w:hint="eastAsia" w:ascii="方正仿宋_GBK" w:hAnsi="方正仿宋_GBK" w:eastAsia="方正仿宋_GBK" w:cs="方正仿宋_GBK"/>
          <w:b/>
          <w:bCs/>
          <w:color w:val="auto"/>
          <w:spacing w:val="6"/>
          <w:kern w:val="2"/>
          <w:sz w:val="32"/>
          <w:szCs w:val="32"/>
          <w:highlight w:val="none"/>
          <w:lang w:val="en-US" w:eastAsia="zh-CN" w:bidi="ar-SA"/>
        </w:rPr>
      </w:pPr>
      <w:bookmarkStart w:id="31" w:name="_Toc19416"/>
      <w:bookmarkStart w:id="32" w:name="_Toc17940"/>
      <w:r>
        <w:rPr>
          <w:rFonts w:hint="eastAsia" w:ascii="方正仿宋_GBK" w:hAnsi="方正仿宋_GBK" w:eastAsia="方正仿宋_GBK" w:cs="方正仿宋_GBK"/>
          <w:b/>
          <w:bCs/>
          <w:color w:val="auto"/>
          <w:spacing w:val="6"/>
          <w:kern w:val="2"/>
          <w:sz w:val="32"/>
          <w:szCs w:val="32"/>
          <w:highlight w:val="none"/>
          <w:lang w:val="en-US" w:eastAsia="zh-CN" w:bidi="ar-SA"/>
        </w:rPr>
        <w:t xml:space="preserve">3.1.1 设计依据 </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（1）法律、法规</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 xml:space="preserve">①《中华人民共和国水法》（2016年修正）； </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②《中华人民共和国水污染防治法》（2017年修正）</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（2）规范及标准</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①《村镇供水工程技术规范》SL310-2019；</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②《农村饮水安全工程实施方案编制规程》SL559-2011；</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③《水利水电工程等级划分及洪水标准》SL252—2017</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④《水利水电工程合理使用年限及耐久性设计规范》SL654-2014</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⑤《生活饮用水卫生标准》GB5749-2022</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⑥《给水用聚乙烯(PE)管道系统第2部分：管材》GB/T13663.2-2018</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⑦《给水用聚乙烯(PE)管道系统第3部分：管件》GB/T13663.3-2018</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⑧《供水系统用弹性密封闸阀》GB/T24924-2010</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⑨《水平定向钻法管道穿越工程技术规范》CECS382:2014</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⑩《给水排水管道工程施工及验收规范》GB50268-2008</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（3）参考资料</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①《麦盖提县 “十四五”农村供水保障规划》；</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②《麦盖提县吐曼塔勒乡、库尔玛乡农村饮水安全巩固提升工程》2016年编制；</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③《麦盖提县城乡供水一体化工程可行性研究报告》2022年1月；</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 xml:space="preserve">国家及地方其他法律及规范。 </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r>
        <w:rPr>
          <w:rFonts w:hint="eastAsia" w:ascii="方正楷体_GBK" w:hAnsi="方正楷体_GBK" w:eastAsia="方正楷体_GBK" w:cs="方正楷体_GBK"/>
          <w:b/>
          <w:bCs/>
          <w:color w:val="auto"/>
          <w:spacing w:val="6"/>
          <w:sz w:val="32"/>
          <w:szCs w:val="32"/>
          <w:highlight w:val="none"/>
          <w:lang w:val="en-US" w:eastAsia="zh-CN"/>
        </w:rPr>
        <w:t>3.2建设内容、规模等明细资料</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7" w:firstLineChars="200"/>
        <w:textAlignment w:val="auto"/>
        <w:outlineLvl w:val="9"/>
        <w:rPr>
          <w:rFonts w:hint="eastAsia" w:ascii="方正仿宋_GBK" w:hAnsi="方正仿宋_GBK" w:eastAsia="方正仿宋_GBK" w:cs="方正仿宋_GBK"/>
          <w:b/>
          <w:bCs/>
          <w:color w:val="auto"/>
          <w:spacing w:val="6"/>
          <w:kern w:val="2"/>
          <w:sz w:val="32"/>
          <w:szCs w:val="32"/>
          <w:highlight w:val="none"/>
          <w:lang w:val="en-US" w:eastAsia="zh-CN" w:bidi="ar-SA"/>
        </w:rPr>
      </w:pPr>
      <w:r>
        <w:rPr>
          <w:rFonts w:hint="eastAsia" w:ascii="方正仿宋_GBK" w:hAnsi="方正仿宋_GBK" w:eastAsia="方正仿宋_GBK" w:cs="方正仿宋_GBK"/>
          <w:b/>
          <w:bCs/>
          <w:color w:val="auto"/>
          <w:spacing w:val="6"/>
          <w:kern w:val="2"/>
          <w:sz w:val="32"/>
          <w:szCs w:val="32"/>
          <w:highlight w:val="none"/>
          <w:lang w:val="en-US" w:eastAsia="zh-CN" w:bidi="ar-SA"/>
        </w:rPr>
        <w:t xml:space="preserve">3.2.1 建设规模 </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 xml:space="preserve">麦盖提县吐曼塔勒乡农村供水保障工程，更换输配水管道125.7km，新建配套闸阀井51座。 </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7" w:firstLineChars="200"/>
        <w:textAlignment w:val="auto"/>
        <w:outlineLvl w:val="9"/>
        <w:rPr>
          <w:rFonts w:hint="eastAsia" w:ascii="方正仿宋_GBK" w:hAnsi="方正仿宋_GBK" w:eastAsia="方正仿宋_GBK" w:cs="方正仿宋_GBK"/>
          <w:b/>
          <w:bCs/>
          <w:color w:val="auto"/>
          <w:spacing w:val="6"/>
          <w:kern w:val="2"/>
          <w:sz w:val="32"/>
          <w:szCs w:val="32"/>
          <w:highlight w:val="none"/>
          <w:lang w:val="en-US" w:eastAsia="zh-CN" w:bidi="ar-SA"/>
        </w:rPr>
      </w:pPr>
      <w:r>
        <w:rPr>
          <w:rFonts w:hint="eastAsia" w:ascii="方正仿宋_GBK" w:hAnsi="方正仿宋_GBK" w:eastAsia="方正仿宋_GBK" w:cs="方正仿宋_GBK"/>
          <w:b/>
          <w:bCs/>
          <w:color w:val="auto"/>
          <w:spacing w:val="6"/>
          <w:kern w:val="2"/>
          <w:sz w:val="32"/>
          <w:szCs w:val="32"/>
          <w:highlight w:val="none"/>
          <w:lang w:val="en-US" w:eastAsia="zh-CN" w:bidi="ar-SA"/>
        </w:rPr>
        <w:t xml:space="preserve">3.2.2 建设内容 </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更换输配水管道125.7km（更换管网覆盖14个行政村），配水管管材选用PE100级聚乙烯管，公称压力0.8Mpa；新建配套闸阀井51座（钢筋混凝土闸阀井14座，砖砌闸阀井37座）。</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jc w:val="both"/>
        <w:textAlignment w:val="auto"/>
        <w:outlineLvl w:val="0"/>
        <w:rPr>
          <w:rFonts w:hint="eastAsia" w:ascii="方正黑体_GBK" w:hAnsi="方正黑体_GBK" w:eastAsia="方正黑体_GBK" w:cs="方正黑体_GBK"/>
          <w:b w:val="0"/>
          <w:bCs w:val="0"/>
          <w:color w:val="auto"/>
          <w:spacing w:val="6"/>
          <w:sz w:val="32"/>
          <w:szCs w:val="32"/>
          <w:highlight w:val="none"/>
          <w:lang w:val="en-US" w:eastAsia="zh-CN"/>
        </w:rPr>
      </w:pPr>
      <w:r>
        <w:rPr>
          <w:rFonts w:hint="eastAsia" w:ascii="方正黑体_GBK" w:hAnsi="方正黑体_GBK" w:eastAsia="方正黑体_GBK" w:cs="方正黑体_GBK"/>
          <w:b w:val="0"/>
          <w:bCs w:val="0"/>
          <w:color w:val="auto"/>
          <w:spacing w:val="6"/>
          <w:sz w:val="32"/>
          <w:szCs w:val="32"/>
          <w:highlight w:val="none"/>
          <w:lang w:val="en-US" w:eastAsia="zh-CN"/>
        </w:rPr>
        <w:t>4.投资概算和资金筹措</w:t>
      </w:r>
      <w:bookmarkEnd w:id="31"/>
      <w:bookmarkEnd w:id="32"/>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bookmarkStart w:id="33" w:name="_Toc14256"/>
      <w:bookmarkStart w:id="34" w:name="_Toc6054"/>
      <w:r>
        <w:rPr>
          <w:rFonts w:hint="eastAsia" w:ascii="方正楷体_GBK" w:hAnsi="方正楷体_GBK" w:eastAsia="方正楷体_GBK" w:cs="方正楷体_GBK"/>
          <w:b/>
          <w:bCs/>
          <w:color w:val="auto"/>
          <w:spacing w:val="6"/>
          <w:sz w:val="32"/>
          <w:szCs w:val="32"/>
          <w:highlight w:val="none"/>
          <w:lang w:val="en-US" w:eastAsia="zh-CN"/>
        </w:rPr>
        <w:t xml:space="preserve">4.1 投资概算 </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项目概算总投资3416.36万元。</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r>
        <w:rPr>
          <w:rFonts w:hint="eastAsia" w:ascii="方正楷体_GBK" w:hAnsi="方正楷体_GBK" w:eastAsia="方正楷体_GBK" w:cs="方正楷体_GBK"/>
          <w:b/>
          <w:bCs/>
          <w:color w:val="auto"/>
          <w:spacing w:val="6"/>
          <w:sz w:val="32"/>
          <w:szCs w:val="32"/>
          <w:highlight w:val="none"/>
          <w:lang w:val="en-US" w:eastAsia="zh-CN"/>
        </w:rPr>
        <w:t xml:space="preserve">4.2 资金筹措 </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本项目投资估算总金额为3416.36万元，资金来源：中央财政衔接推进乡村振兴补助资金3416.36万元。</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r>
        <w:rPr>
          <w:rFonts w:hint="eastAsia" w:ascii="方正楷体_GBK" w:hAnsi="方正楷体_GBK" w:eastAsia="方正楷体_GBK" w:cs="方正楷体_GBK"/>
          <w:b/>
          <w:bCs/>
          <w:color w:val="auto"/>
          <w:spacing w:val="6"/>
          <w:sz w:val="32"/>
          <w:szCs w:val="32"/>
          <w:highlight w:val="none"/>
          <w:lang w:val="en-US" w:eastAsia="zh-CN"/>
        </w:rPr>
        <w:t>4.3资金使用和管理</w:t>
      </w:r>
      <w:bookmarkEnd w:id="33"/>
      <w:bookmarkEnd w:id="34"/>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bookmarkStart w:id="35" w:name="_Toc5264"/>
      <w:bookmarkStart w:id="36" w:name="_Toc9493"/>
      <w:r>
        <w:rPr>
          <w:rFonts w:hint="eastAsia" w:ascii="方正仿宋_GBK" w:hAnsi="方正仿宋_GBK" w:eastAsia="方正仿宋_GBK" w:cs="方正仿宋_GBK"/>
          <w:color w:val="auto"/>
          <w:spacing w:val="6"/>
          <w:kern w:val="2"/>
          <w:sz w:val="32"/>
          <w:szCs w:val="32"/>
          <w:highlight w:val="none"/>
          <w:lang w:val="en-US" w:eastAsia="zh-CN" w:bidi="ar-SA"/>
        </w:rPr>
        <w:t>根据《关于印发&lt;新疆维吾自治区财政衔接推进乡村振兴补助资金(巩固拓展脱贫攻坚成果和乡村振兴任务)项目管理办法(暂行)&gt;的通知》（新乡振〔2021〕32号）文件要求，为保质保量按时完成该项目，需实行目标管理责任制，明确领导小组各成员的职责，全面推行项目建设责任制、项目法人责任制，建立健全项目资产公开公示、定期巡查、绩效考核、结果反馈等检查机制，对项目经营运行、收益分配、后期管护等环节进行全程监督，保障项目资产安全有效。</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jc w:val="both"/>
        <w:textAlignment w:val="auto"/>
        <w:outlineLvl w:val="0"/>
        <w:rPr>
          <w:rFonts w:hint="eastAsia" w:ascii="方正黑体_GBK" w:hAnsi="方正黑体_GBK" w:eastAsia="方正黑体_GBK" w:cs="方正黑体_GBK"/>
          <w:b w:val="0"/>
          <w:bCs w:val="0"/>
          <w:color w:val="auto"/>
          <w:spacing w:val="6"/>
          <w:sz w:val="32"/>
          <w:szCs w:val="32"/>
          <w:highlight w:val="none"/>
          <w:lang w:val="en-US" w:eastAsia="zh-CN"/>
        </w:rPr>
      </w:pPr>
      <w:r>
        <w:rPr>
          <w:rFonts w:hint="eastAsia" w:ascii="方正黑体_GBK" w:hAnsi="方正黑体_GBK" w:eastAsia="方正黑体_GBK" w:cs="方正黑体_GBK"/>
          <w:b w:val="0"/>
          <w:bCs w:val="0"/>
          <w:color w:val="auto"/>
          <w:spacing w:val="6"/>
          <w:sz w:val="32"/>
          <w:szCs w:val="32"/>
          <w:highlight w:val="none"/>
          <w:lang w:val="en-US" w:eastAsia="zh-CN"/>
        </w:rPr>
        <w:t>5.项目实施保障措施</w:t>
      </w:r>
      <w:bookmarkEnd w:id="35"/>
      <w:bookmarkEnd w:id="36"/>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bookmarkStart w:id="37" w:name="_Toc21147"/>
      <w:bookmarkStart w:id="38" w:name="_Toc3539"/>
      <w:r>
        <w:rPr>
          <w:rFonts w:hint="eastAsia" w:ascii="方正楷体_GBK" w:hAnsi="方正楷体_GBK" w:eastAsia="方正楷体_GBK" w:cs="方正楷体_GBK"/>
          <w:b/>
          <w:bCs/>
          <w:color w:val="auto"/>
          <w:spacing w:val="6"/>
          <w:sz w:val="32"/>
          <w:szCs w:val="32"/>
          <w:highlight w:val="none"/>
          <w:lang w:val="en-US" w:eastAsia="zh-CN"/>
        </w:rPr>
        <w:t>5.1组织领导机构</w:t>
      </w:r>
      <w:bookmarkEnd w:id="37"/>
      <w:bookmarkEnd w:id="38"/>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为了保证项目能够顺利实施，保证质量按时完成，麦盖提县水利局作为项目主管单位、麦盖提县农村饮水服务站作为实施单位，成立了项目工作专班。领导小组如下：</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default"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组长：李强</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default"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副组长：张明</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default"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成员：买合木提江·牙生、何生强</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 xml:space="preserve">领导小组下设办公室，办公室主任由何生强同志兼任，负责全面处理日常事务。 </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bookmarkStart w:id="39" w:name="_Toc548"/>
      <w:bookmarkStart w:id="40" w:name="_Toc29738"/>
      <w:r>
        <w:rPr>
          <w:rFonts w:hint="eastAsia" w:ascii="方正仿宋_GBK" w:hAnsi="方正仿宋_GBK" w:eastAsia="方正仿宋_GBK" w:cs="方正仿宋_GBK"/>
          <w:color w:val="auto"/>
          <w:spacing w:val="6"/>
          <w:kern w:val="2"/>
          <w:sz w:val="32"/>
          <w:szCs w:val="32"/>
          <w:highlight w:val="none"/>
          <w:lang w:val="en-US" w:eastAsia="zh-CN" w:bidi="ar-SA"/>
        </w:rPr>
        <w:t>专班组办公室主要职责：专班组办公室负责日常工作，确保该项目早开工、早建设、早完工，群众早受益。</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建立与县农业农村局和交通运输等有关部门工作中的信息沟通和协调，配合完成各项工作；做好项目相关信息采集、整理、上报等工作；负责协调解决项目实施过程中存在的具体问题。</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r>
        <w:rPr>
          <w:rFonts w:hint="eastAsia" w:ascii="方正楷体_GBK" w:hAnsi="方正楷体_GBK" w:eastAsia="方正楷体_GBK" w:cs="方正楷体_GBK"/>
          <w:b/>
          <w:bCs/>
          <w:color w:val="auto"/>
          <w:spacing w:val="6"/>
          <w:sz w:val="32"/>
          <w:szCs w:val="32"/>
          <w:highlight w:val="none"/>
          <w:lang w:val="en-US" w:eastAsia="zh-CN"/>
        </w:rPr>
        <w:t>5.2技术保障措施</w:t>
      </w:r>
      <w:bookmarkEnd w:id="39"/>
      <w:bookmarkEnd w:id="40"/>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本次工程项目区内供水管网更新改造，输配水管道已铺设完成，村内末端管网沿住宅铺设，线路唯一，本次工程按原管线改建。</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bookmarkStart w:id="41" w:name="_Toc13444"/>
      <w:bookmarkStart w:id="42" w:name="_Toc12124"/>
      <w:r>
        <w:rPr>
          <w:rFonts w:hint="eastAsia" w:ascii="方正楷体_GBK" w:hAnsi="方正楷体_GBK" w:eastAsia="方正楷体_GBK" w:cs="方正楷体_GBK"/>
          <w:b/>
          <w:bCs/>
          <w:color w:val="auto"/>
          <w:spacing w:val="6"/>
          <w:sz w:val="32"/>
          <w:szCs w:val="32"/>
          <w:highlight w:val="none"/>
          <w:lang w:val="en-US" w:eastAsia="zh-CN"/>
        </w:rPr>
        <w:t>5.3项目管理、监督检查制度</w:t>
      </w:r>
      <w:bookmarkEnd w:id="41"/>
      <w:bookmarkEnd w:id="42"/>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bookmarkStart w:id="43" w:name="_Toc17751"/>
      <w:bookmarkStart w:id="44" w:name="_Toc24222"/>
      <w:r>
        <w:rPr>
          <w:rFonts w:hint="eastAsia" w:ascii="方正仿宋_GBK" w:hAnsi="方正仿宋_GBK" w:eastAsia="方正仿宋_GBK" w:cs="方正仿宋_GBK"/>
          <w:color w:val="auto"/>
          <w:spacing w:val="6"/>
          <w:kern w:val="2"/>
          <w:sz w:val="32"/>
          <w:szCs w:val="32"/>
          <w:highlight w:val="none"/>
          <w:lang w:val="en-US" w:eastAsia="zh-CN" w:bidi="ar-SA"/>
        </w:rPr>
        <w:t>根据《关于印发&lt;新疆维吾自治区财政衔接推进乡村振兴补助资金(巩固拓展脱贫攻坚成果和乡村振兴任务)项目管理办法(暂行)&gt;的通知》（新乡振〔2021〕32号）文件要求，为保质保量按时完成该项目，需实行目标管理责任制，在实施过程中严格按照进行管理和监督，确保保质保量的完成工作。领导小组是项目管理的第一责任主体，组长是第一责任人，全面负责资金和项目管理、绩效评价、监督检查等各项工作，为保质保量按时完成该项目，实行目标管理责任制，明确领导小组各成员的职责，全面推行项目建设责任制、项目法人责任制，建立健全扶贫资产公开公示、定期巡查、绩效考核、结果反馈等检查机制，对项目经营运行、收益分配、后期管护等环节进行全程监督，保障扶贫资产安全有效。</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r>
        <w:rPr>
          <w:rFonts w:hint="eastAsia" w:ascii="方正楷体_GBK" w:hAnsi="方正楷体_GBK" w:eastAsia="方正楷体_GBK" w:cs="方正楷体_GBK"/>
          <w:b/>
          <w:bCs/>
          <w:color w:val="auto"/>
          <w:spacing w:val="6"/>
          <w:sz w:val="32"/>
          <w:szCs w:val="32"/>
          <w:highlight w:val="none"/>
          <w:lang w:val="en-US" w:eastAsia="zh-CN"/>
        </w:rPr>
        <w:t>5.4验收管理</w:t>
      </w:r>
      <w:bookmarkEnd w:id="43"/>
      <w:bookmarkEnd w:id="44"/>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bookmarkStart w:id="45" w:name="_Toc30502"/>
      <w:bookmarkStart w:id="46" w:name="_Toc3858"/>
      <w:r>
        <w:rPr>
          <w:rFonts w:hint="eastAsia" w:ascii="方正仿宋_GBK" w:hAnsi="方正仿宋_GBK" w:eastAsia="方正仿宋_GBK" w:cs="方正仿宋_GBK"/>
          <w:color w:val="auto"/>
          <w:spacing w:val="6"/>
          <w:kern w:val="2"/>
          <w:sz w:val="32"/>
          <w:szCs w:val="32"/>
          <w:highlight w:val="none"/>
          <w:lang w:val="en-US" w:eastAsia="zh-CN" w:bidi="ar-SA"/>
        </w:rPr>
        <w:t>遵照属地管理、“谁审批、谁验收”的原则，一是先由项目施工方向麦盖提县水利局申请；二是由麦盖提县水利局组织相关单位对项目建设内容进行验收；三是建立并完善项目档案。预计项目（工程）验收合格率预计可达100%。</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r>
        <w:rPr>
          <w:rFonts w:hint="eastAsia" w:ascii="方正楷体_GBK" w:hAnsi="方正楷体_GBK" w:eastAsia="方正楷体_GBK" w:cs="方正楷体_GBK"/>
          <w:b/>
          <w:bCs/>
          <w:color w:val="auto"/>
          <w:spacing w:val="6"/>
          <w:sz w:val="32"/>
          <w:szCs w:val="32"/>
          <w:highlight w:val="none"/>
          <w:lang w:val="en-US" w:eastAsia="zh-CN"/>
        </w:rPr>
        <w:t>5.5运营模式和运营管理</w:t>
      </w:r>
      <w:bookmarkEnd w:id="45"/>
      <w:bookmarkEnd w:id="46"/>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bookmarkStart w:id="47" w:name="_Toc9412"/>
      <w:bookmarkStart w:id="48" w:name="_Toc23070"/>
      <w:r>
        <w:rPr>
          <w:rFonts w:hint="eastAsia" w:ascii="方正仿宋_GBK" w:hAnsi="方正仿宋_GBK" w:eastAsia="方正仿宋_GBK" w:cs="方正仿宋_GBK"/>
          <w:color w:val="auto"/>
          <w:spacing w:val="6"/>
          <w:kern w:val="2"/>
          <w:sz w:val="32"/>
          <w:szCs w:val="32"/>
          <w:highlight w:val="none"/>
          <w:lang w:val="en-US" w:eastAsia="zh-CN" w:bidi="ar-SA"/>
        </w:rPr>
        <w:t>根据麦盖提县农村供水工程运行管理暂行办法，制定各项管理制度和岗位责任制，做到有章可循，责任明确。</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麦盖提县农村饮水服务站在吐曼塔勒乡设立有农村供水水厂，负责供水工程的正常运行和供水设备、设施的完整，保护水源安全，供水到户，征收水费，维修、维护供水设备、设施等工作。</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为保证农村供水工程正常运行，不断改善农民的生活环境和条件，提高农民的防病抗病能力，促进农村经济的发展和社会稳定，项目所在乡安排一名领导，协助供水部门进行运行管理，协调改水、供水、收费环节中的各项管理工作。</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r>
        <w:rPr>
          <w:rFonts w:hint="eastAsia" w:ascii="方正楷体_GBK" w:hAnsi="方正楷体_GBK" w:eastAsia="方正楷体_GBK" w:cs="方正楷体_GBK"/>
          <w:b/>
          <w:bCs/>
          <w:color w:val="auto"/>
          <w:spacing w:val="6"/>
          <w:sz w:val="32"/>
          <w:szCs w:val="32"/>
          <w:highlight w:val="none"/>
          <w:lang w:val="en-US" w:eastAsia="zh-CN"/>
        </w:rPr>
        <w:t>5.6利益联结机制</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 xml:space="preserve">工程建成后，改善了麦盖提县吐曼塔勒乡农村居民的供水保障水平，更好满足农村居民改厕、洗涤、环境卫生等用水需求，不断提高农村居民日常生产生活用水质量，给社会经济的发展提供了可靠的保证；预计受益巩固脱贫人口不低于5547人。 </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jc w:val="both"/>
        <w:textAlignment w:val="auto"/>
        <w:outlineLvl w:val="0"/>
        <w:rPr>
          <w:rFonts w:hint="eastAsia" w:ascii="方正黑体_GBK" w:hAnsi="方正黑体_GBK" w:eastAsia="方正黑体_GBK" w:cs="方正黑体_GBK"/>
          <w:b w:val="0"/>
          <w:bCs w:val="0"/>
          <w:color w:val="auto"/>
          <w:spacing w:val="6"/>
          <w:sz w:val="32"/>
          <w:szCs w:val="32"/>
          <w:highlight w:val="none"/>
          <w:lang w:val="en-US" w:eastAsia="zh-CN"/>
        </w:rPr>
      </w:pPr>
      <w:r>
        <w:rPr>
          <w:rFonts w:hint="eastAsia" w:ascii="方正黑体_GBK" w:hAnsi="方正黑体_GBK" w:eastAsia="方正黑体_GBK" w:cs="方正黑体_GBK"/>
          <w:b w:val="0"/>
          <w:bCs w:val="0"/>
          <w:color w:val="auto"/>
          <w:spacing w:val="6"/>
          <w:sz w:val="32"/>
          <w:szCs w:val="32"/>
          <w:highlight w:val="none"/>
          <w:lang w:val="en-US" w:eastAsia="zh-CN"/>
        </w:rPr>
        <w:t>6.项目实施进度</w:t>
      </w:r>
      <w:bookmarkEnd w:id="47"/>
      <w:bookmarkEnd w:id="48"/>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bookmarkStart w:id="49" w:name="_Toc27055"/>
      <w:bookmarkStart w:id="50" w:name="_Toc10549"/>
      <w:r>
        <w:rPr>
          <w:rFonts w:hint="eastAsia" w:ascii="方正楷体_GBK" w:hAnsi="方正楷体_GBK" w:eastAsia="方正楷体_GBK" w:cs="方正楷体_GBK"/>
          <w:b/>
          <w:bCs/>
          <w:color w:val="auto"/>
          <w:spacing w:val="6"/>
          <w:sz w:val="32"/>
          <w:szCs w:val="32"/>
          <w:highlight w:val="none"/>
          <w:lang w:val="en-US" w:eastAsia="zh-CN"/>
        </w:rPr>
        <w:t>6.1项目实施进度计划</w:t>
      </w:r>
      <w:bookmarkEnd w:id="49"/>
      <w:bookmarkEnd w:id="50"/>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 xml:space="preserve">根据路网现状、经济评价结果，推荐方案工程内容、建设规模、技术标准等，以及项目区域内地形、地质、水文条件和具体的场地建设条件，本项目的工程工期安排为4个月。 </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2025年3月完成施工图设计，招投标等前期工作，按计划开工，并于8月完成项目工程验收及审计结算等后续工作。</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bookmarkStart w:id="51" w:name="_Toc5899"/>
      <w:bookmarkStart w:id="52" w:name="_Toc29061"/>
      <w:r>
        <w:rPr>
          <w:rFonts w:hint="eastAsia" w:ascii="方正楷体_GBK" w:hAnsi="方正楷体_GBK" w:eastAsia="方正楷体_GBK" w:cs="方正楷体_GBK"/>
          <w:b/>
          <w:bCs/>
          <w:color w:val="auto"/>
          <w:spacing w:val="6"/>
          <w:sz w:val="32"/>
          <w:szCs w:val="32"/>
          <w:highlight w:val="none"/>
          <w:lang w:val="en-US" w:eastAsia="zh-CN"/>
        </w:rPr>
        <w:t>6.2招标方案</w:t>
      </w:r>
      <w:bookmarkEnd w:id="51"/>
      <w:bookmarkEnd w:id="52"/>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 xml:space="preserve">该项目的设计、施工、监理等活动全部进行招标。 </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 xml:space="preserve">该建设项目的招标组织形式拟采用委托招标，即由建设单位委托第三方组织招标活动。 </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该建设项目的设计、施工、监理等活动拟采用委托招标方式。拟建公路招标基本情况见表</w:t>
      </w:r>
    </w:p>
    <w:p>
      <w:pPr>
        <w:keepNext w:val="0"/>
        <w:keepLines w:val="0"/>
        <w:pageBreakBefore w:val="0"/>
        <w:kinsoku/>
        <w:wordWrap/>
        <w:overflowPunct/>
        <w:topLinePunct w:val="0"/>
        <w:autoSpaceDE/>
        <w:autoSpaceDN/>
        <w:bidi w:val="0"/>
        <w:adjustRightInd/>
        <w:spacing w:before="86" w:line="570" w:lineRule="exact"/>
        <w:ind w:right="372"/>
        <w:jc w:val="center"/>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sz w:val="24"/>
          <w:szCs w:val="24"/>
          <w:highlight w:val="none"/>
          <w14:textOutline w14:w="4354" w14:cap="flat" w14:cmpd="sng">
            <w14:solidFill>
              <w14:srgbClr w14:val="000000"/>
            </w14:solidFill>
            <w14:prstDash w14:val="solid"/>
            <w14:miter w14:val="0"/>
          </w14:textOutline>
        </w:rPr>
        <w:t>招</w:t>
      </w:r>
      <w:r>
        <w:rPr>
          <w:rFonts w:hint="eastAsia" w:ascii="方正仿宋_GBK" w:hAnsi="方正仿宋_GBK" w:eastAsia="方正仿宋_GBK" w:cs="方正仿宋_GBK"/>
          <w:spacing w:val="6"/>
          <w:sz w:val="24"/>
          <w:szCs w:val="24"/>
          <w:highlight w:val="none"/>
        </w:rPr>
        <w:t xml:space="preserve">  </w:t>
      </w:r>
      <w:r>
        <w:rPr>
          <w:rFonts w:hint="eastAsia" w:ascii="方正仿宋_GBK" w:hAnsi="方正仿宋_GBK" w:eastAsia="方正仿宋_GBK" w:cs="方正仿宋_GBK"/>
          <w:spacing w:val="6"/>
          <w:sz w:val="24"/>
          <w:szCs w:val="24"/>
          <w:highlight w:val="none"/>
          <w14:textOutline w14:w="4354" w14:cap="flat" w14:cmpd="sng">
            <w14:solidFill>
              <w14:srgbClr w14:val="000000"/>
            </w14:solidFill>
            <w14:prstDash w14:val="solid"/>
            <w14:miter w14:val="0"/>
          </w14:textOutline>
        </w:rPr>
        <w:t>标</w:t>
      </w:r>
      <w:r>
        <w:rPr>
          <w:rFonts w:hint="eastAsia" w:ascii="方正仿宋_GBK" w:hAnsi="方正仿宋_GBK" w:eastAsia="方正仿宋_GBK" w:cs="方正仿宋_GBK"/>
          <w:spacing w:val="6"/>
          <w:sz w:val="24"/>
          <w:szCs w:val="24"/>
          <w:highlight w:val="none"/>
        </w:rPr>
        <w:t xml:space="preserve">  </w:t>
      </w:r>
      <w:r>
        <w:rPr>
          <w:rFonts w:hint="eastAsia" w:ascii="方正仿宋_GBK" w:hAnsi="方正仿宋_GBK" w:eastAsia="方正仿宋_GBK" w:cs="方正仿宋_GBK"/>
          <w:spacing w:val="6"/>
          <w:sz w:val="24"/>
          <w:szCs w:val="24"/>
          <w:highlight w:val="none"/>
          <w14:textOutline w14:w="4354" w14:cap="flat" w14:cmpd="sng">
            <w14:solidFill>
              <w14:srgbClr w14:val="000000"/>
            </w14:solidFill>
            <w14:prstDash w14:val="solid"/>
            <w14:miter w14:val="0"/>
          </w14:textOutline>
        </w:rPr>
        <w:t>基</w:t>
      </w:r>
      <w:r>
        <w:rPr>
          <w:rFonts w:hint="eastAsia" w:ascii="方正仿宋_GBK" w:hAnsi="方正仿宋_GBK" w:eastAsia="方正仿宋_GBK" w:cs="方正仿宋_GBK"/>
          <w:spacing w:val="6"/>
          <w:sz w:val="24"/>
          <w:szCs w:val="24"/>
          <w:highlight w:val="none"/>
        </w:rPr>
        <w:t xml:space="preserve">  </w:t>
      </w:r>
      <w:r>
        <w:rPr>
          <w:rFonts w:hint="eastAsia" w:ascii="方正仿宋_GBK" w:hAnsi="方正仿宋_GBK" w:eastAsia="方正仿宋_GBK" w:cs="方正仿宋_GBK"/>
          <w:spacing w:val="6"/>
          <w:sz w:val="24"/>
          <w:szCs w:val="24"/>
          <w:highlight w:val="none"/>
          <w14:textOutline w14:w="4354" w14:cap="flat" w14:cmpd="sng">
            <w14:solidFill>
              <w14:srgbClr w14:val="000000"/>
            </w14:solidFill>
            <w14:prstDash w14:val="solid"/>
            <w14:miter w14:val="0"/>
          </w14:textOutline>
        </w:rPr>
        <w:t>本</w:t>
      </w:r>
      <w:r>
        <w:rPr>
          <w:rFonts w:hint="eastAsia" w:ascii="方正仿宋_GBK" w:hAnsi="方正仿宋_GBK" w:eastAsia="方正仿宋_GBK" w:cs="方正仿宋_GBK"/>
          <w:spacing w:val="6"/>
          <w:sz w:val="24"/>
          <w:szCs w:val="24"/>
          <w:highlight w:val="none"/>
        </w:rPr>
        <w:t xml:space="preserve">  </w:t>
      </w:r>
      <w:r>
        <w:rPr>
          <w:rFonts w:hint="eastAsia" w:ascii="方正仿宋_GBK" w:hAnsi="方正仿宋_GBK" w:eastAsia="方正仿宋_GBK" w:cs="方正仿宋_GBK"/>
          <w:spacing w:val="6"/>
          <w:sz w:val="24"/>
          <w:szCs w:val="24"/>
          <w:highlight w:val="none"/>
          <w14:textOutline w14:w="4354" w14:cap="flat" w14:cmpd="sng">
            <w14:solidFill>
              <w14:srgbClr w14:val="000000"/>
            </w14:solidFill>
            <w14:prstDash w14:val="solid"/>
            <w14:miter w14:val="0"/>
          </w14:textOutline>
        </w:rPr>
        <w:t>情</w:t>
      </w:r>
      <w:r>
        <w:rPr>
          <w:rFonts w:hint="eastAsia" w:ascii="方正仿宋_GBK" w:hAnsi="方正仿宋_GBK" w:eastAsia="方正仿宋_GBK" w:cs="方正仿宋_GBK"/>
          <w:spacing w:val="6"/>
          <w:sz w:val="24"/>
          <w:szCs w:val="24"/>
          <w:highlight w:val="none"/>
        </w:rPr>
        <w:t xml:space="preserve">  </w:t>
      </w:r>
      <w:r>
        <w:rPr>
          <w:rFonts w:hint="eastAsia" w:ascii="方正仿宋_GBK" w:hAnsi="方正仿宋_GBK" w:eastAsia="方正仿宋_GBK" w:cs="方正仿宋_GBK"/>
          <w:spacing w:val="6"/>
          <w:sz w:val="24"/>
          <w:szCs w:val="24"/>
          <w:highlight w:val="none"/>
          <w14:textOutline w14:w="4354" w14:cap="flat" w14:cmpd="sng">
            <w14:solidFill>
              <w14:srgbClr w14:val="000000"/>
            </w14:solidFill>
            <w14:prstDash w14:val="solid"/>
            <w14:miter w14:val="0"/>
          </w14:textOutline>
        </w:rPr>
        <w:t>况</w:t>
      </w:r>
      <w:r>
        <w:rPr>
          <w:rFonts w:hint="eastAsia" w:ascii="方正仿宋_GBK" w:hAnsi="方正仿宋_GBK" w:eastAsia="方正仿宋_GBK" w:cs="方正仿宋_GBK"/>
          <w:spacing w:val="6"/>
          <w:sz w:val="24"/>
          <w:szCs w:val="24"/>
          <w:highlight w:val="none"/>
        </w:rPr>
        <w:t xml:space="preserve">  </w:t>
      </w:r>
      <w:r>
        <w:rPr>
          <w:rFonts w:hint="eastAsia" w:ascii="方正仿宋_GBK" w:hAnsi="方正仿宋_GBK" w:eastAsia="方正仿宋_GBK" w:cs="方正仿宋_GBK"/>
          <w:spacing w:val="6"/>
          <w:sz w:val="24"/>
          <w:szCs w:val="24"/>
          <w:highlight w:val="none"/>
          <w14:textOutline w14:w="4354" w14:cap="flat" w14:cmpd="sng">
            <w14:solidFill>
              <w14:srgbClr w14:val="000000"/>
            </w14:solidFill>
            <w14:prstDash w14:val="solid"/>
            <w14:miter w14:val="0"/>
          </w14:textOutline>
        </w:rPr>
        <w:t>表</w:t>
      </w:r>
    </w:p>
    <w:p>
      <w:pPr>
        <w:keepNext w:val="0"/>
        <w:keepLines w:val="0"/>
        <w:pageBreakBefore w:val="0"/>
        <w:kinsoku/>
        <w:wordWrap/>
        <w:overflowPunct/>
        <w:topLinePunct w:val="0"/>
        <w:autoSpaceDE/>
        <w:autoSpaceDN/>
        <w:bidi w:val="0"/>
        <w:adjustRightInd/>
        <w:spacing w:line="570" w:lineRule="exact"/>
        <w:rPr>
          <w:rFonts w:hint="eastAsia" w:ascii="方正仿宋_GBK" w:hAnsi="方正仿宋_GBK" w:eastAsia="方正仿宋_GBK" w:cs="方正仿宋_GBK"/>
          <w:spacing w:val="6"/>
          <w:highlight w:val="none"/>
        </w:rPr>
      </w:pPr>
    </w:p>
    <w:tbl>
      <w:tblPr>
        <w:tblStyle w:val="23"/>
        <w:tblW w:w="83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8"/>
        <w:gridCol w:w="982"/>
        <w:gridCol w:w="1260"/>
        <w:gridCol w:w="904"/>
        <w:gridCol w:w="1213"/>
        <w:gridCol w:w="1212"/>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518" w:type="dxa"/>
            <w:vMerge w:val="restart"/>
            <w:tcBorders>
              <w:top w:val="single" w:color="000000" w:sz="2" w:space="0"/>
              <w:bottom w:val="nil"/>
            </w:tcBorders>
            <w:vAlign w:val="top"/>
          </w:tcPr>
          <w:p>
            <w:pPr>
              <w:keepNext w:val="0"/>
              <w:keepLines w:val="0"/>
              <w:pageBreakBefore w:val="0"/>
              <w:kinsoku/>
              <w:wordWrap/>
              <w:overflowPunct/>
              <w:topLinePunct w:val="0"/>
              <w:autoSpaceDE/>
              <w:autoSpaceDN/>
              <w:bidi w:val="0"/>
              <w:adjustRightInd/>
              <w:spacing w:line="570" w:lineRule="exact"/>
              <w:rPr>
                <w:rFonts w:hint="eastAsia" w:ascii="方正仿宋_GBK" w:hAnsi="方正仿宋_GBK" w:eastAsia="方正仿宋_GBK" w:cs="方正仿宋_GBK"/>
                <w:spacing w:val="6"/>
                <w:sz w:val="21"/>
                <w:highlight w:val="none"/>
              </w:rPr>
            </w:pPr>
          </w:p>
          <w:p>
            <w:pPr>
              <w:keepNext w:val="0"/>
              <w:keepLines w:val="0"/>
              <w:pageBreakBefore w:val="0"/>
              <w:kinsoku/>
              <w:wordWrap/>
              <w:overflowPunct/>
              <w:topLinePunct w:val="0"/>
              <w:autoSpaceDE/>
              <w:autoSpaceDN/>
              <w:bidi w:val="0"/>
              <w:adjustRightInd/>
              <w:spacing w:before="65" w:line="570" w:lineRule="exact"/>
              <w:ind w:left="439"/>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sz w:val="20"/>
                <w:szCs w:val="20"/>
                <w:highlight w:val="none"/>
              </w:rPr>
              <w:t>名称项目</w:t>
            </w:r>
          </w:p>
        </w:tc>
        <w:tc>
          <w:tcPr>
            <w:tcW w:w="2242" w:type="dxa"/>
            <w:gridSpan w:val="2"/>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139" w:line="570" w:lineRule="exact"/>
              <w:ind w:left="832"/>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sz w:val="20"/>
                <w:szCs w:val="20"/>
                <w:highlight w:val="none"/>
              </w:rPr>
              <w:t>招标范围</w:t>
            </w:r>
          </w:p>
        </w:tc>
        <w:tc>
          <w:tcPr>
            <w:tcW w:w="2117" w:type="dxa"/>
            <w:gridSpan w:val="2"/>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139" w:line="570" w:lineRule="exact"/>
              <w:ind w:left="554"/>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sz w:val="20"/>
                <w:szCs w:val="20"/>
                <w:highlight w:val="none"/>
              </w:rPr>
              <w:t>招标组织形式</w:t>
            </w:r>
          </w:p>
        </w:tc>
        <w:tc>
          <w:tcPr>
            <w:tcW w:w="2442" w:type="dxa"/>
            <w:gridSpan w:val="2"/>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139" w:line="570" w:lineRule="exact"/>
              <w:ind w:left="936"/>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sz w:val="20"/>
                <w:szCs w:val="20"/>
                <w:highlight w:val="none"/>
              </w:rPr>
              <w:t>招标方式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518" w:type="dxa"/>
            <w:vMerge w:val="continue"/>
            <w:tcBorders>
              <w:top w:val="nil"/>
              <w:bottom w:val="single" w:color="000000" w:sz="2" w:space="0"/>
            </w:tcBorders>
            <w:vAlign w:val="top"/>
          </w:tcPr>
          <w:p>
            <w:pPr>
              <w:keepNext w:val="0"/>
              <w:keepLines w:val="0"/>
              <w:pageBreakBefore w:val="0"/>
              <w:kinsoku/>
              <w:wordWrap/>
              <w:overflowPunct/>
              <w:topLinePunct w:val="0"/>
              <w:autoSpaceDE/>
              <w:autoSpaceDN/>
              <w:bidi w:val="0"/>
              <w:adjustRightInd/>
              <w:spacing w:line="570" w:lineRule="exact"/>
              <w:rPr>
                <w:rFonts w:hint="eastAsia" w:ascii="方正仿宋_GBK" w:hAnsi="方正仿宋_GBK" w:eastAsia="方正仿宋_GBK" w:cs="方正仿宋_GBK"/>
                <w:spacing w:val="6"/>
                <w:sz w:val="21"/>
                <w:highlight w:val="none"/>
              </w:rPr>
            </w:pPr>
          </w:p>
        </w:tc>
        <w:tc>
          <w:tcPr>
            <w:tcW w:w="982"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58" w:line="570" w:lineRule="exact"/>
              <w:ind w:left="346"/>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position w:val="7"/>
                <w:sz w:val="20"/>
                <w:szCs w:val="20"/>
                <w:highlight w:val="none"/>
              </w:rPr>
              <w:t>全部</w:t>
            </w:r>
          </w:p>
          <w:p>
            <w:pPr>
              <w:keepNext w:val="0"/>
              <w:keepLines w:val="0"/>
              <w:pageBreakBefore w:val="0"/>
              <w:kinsoku/>
              <w:wordWrap/>
              <w:overflowPunct/>
              <w:topLinePunct w:val="0"/>
              <w:autoSpaceDE/>
              <w:autoSpaceDN/>
              <w:bidi w:val="0"/>
              <w:adjustRightInd/>
              <w:spacing w:line="570" w:lineRule="exact"/>
              <w:ind w:left="340"/>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sz w:val="20"/>
                <w:szCs w:val="20"/>
                <w:highlight w:val="none"/>
              </w:rPr>
              <w:t>招标</w:t>
            </w:r>
          </w:p>
        </w:tc>
        <w:tc>
          <w:tcPr>
            <w:tcW w:w="1260"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58" w:line="570" w:lineRule="exact"/>
              <w:ind w:left="497"/>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position w:val="7"/>
                <w:sz w:val="20"/>
                <w:szCs w:val="20"/>
                <w:highlight w:val="none"/>
              </w:rPr>
              <w:t>部分</w:t>
            </w:r>
          </w:p>
          <w:p>
            <w:pPr>
              <w:keepNext w:val="0"/>
              <w:keepLines w:val="0"/>
              <w:pageBreakBefore w:val="0"/>
              <w:kinsoku/>
              <w:wordWrap/>
              <w:overflowPunct/>
              <w:topLinePunct w:val="0"/>
              <w:autoSpaceDE/>
              <w:autoSpaceDN/>
              <w:bidi w:val="0"/>
              <w:adjustRightInd/>
              <w:spacing w:line="570" w:lineRule="exact"/>
              <w:ind w:left="495"/>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sz w:val="20"/>
                <w:szCs w:val="20"/>
                <w:highlight w:val="none"/>
              </w:rPr>
              <w:t>招标</w:t>
            </w:r>
          </w:p>
        </w:tc>
        <w:tc>
          <w:tcPr>
            <w:tcW w:w="904"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58" w:line="570" w:lineRule="exact"/>
              <w:ind w:left="340"/>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position w:val="7"/>
                <w:sz w:val="20"/>
                <w:szCs w:val="20"/>
                <w:highlight w:val="none"/>
              </w:rPr>
              <w:t>自行</w:t>
            </w:r>
          </w:p>
          <w:p>
            <w:pPr>
              <w:keepNext w:val="0"/>
              <w:keepLines w:val="0"/>
              <w:pageBreakBefore w:val="0"/>
              <w:kinsoku/>
              <w:wordWrap/>
              <w:overflowPunct/>
              <w:topLinePunct w:val="0"/>
              <w:autoSpaceDE/>
              <w:autoSpaceDN/>
              <w:bidi w:val="0"/>
              <w:adjustRightInd/>
              <w:spacing w:line="570" w:lineRule="exact"/>
              <w:ind w:left="300"/>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sz w:val="20"/>
                <w:szCs w:val="20"/>
                <w:highlight w:val="none"/>
              </w:rPr>
              <w:t>招标</w:t>
            </w:r>
          </w:p>
        </w:tc>
        <w:tc>
          <w:tcPr>
            <w:tcW w:w="1213"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58" w:line="570" w:lineRule="exact"/>
              <w:ind w:left="480"/>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position w:val="7"/>
                <w:sz w:val="20"/>
                <w:szCs w:val="20"/>
                <w:highlight w:val="none"/>
              </w:rPr>
              <w:t>委托</w:t>
            </w:r>
          </w:p>
          <w:p>
            <w:pPr>
              <w:keepNext w:val="0"/>
              <w:keepLines w:val="0"/>
              <w:pageBreakBefore w:val="0"/>
              <w:kinsoku/>
              <w:wordWrap/>
              <w:overflowPunct/>
              <w:topLinePunct w:val="0"/>
              <w:autoSpaceDE/>
              <w:autoSpaceDN/>
              <w:bidi w:val="0"/>
              <w:adjustRightInd/>
              <w:spacing w:line="570" w:lineRule="exact"/>
              <w:ind w:left="471"/>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sz w:val="20"/>
                <w:szCs w:val="20"/>
                <w:highlight w:val="none"/>
              </w:rPr>
              <w:t>招标</w:t>
            </w:r>
          </w:p>
        </w:tc>
        <w:tc>
          <w:tcPr>
            <w:tcW w:w="1212"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58" w:line="570" w:lineRule="exact"/>
              <w:ind w:left="478"/>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position w:val="7"/>
                <w:sz w:val="20"/>
                <w:szCs w:val="20"/>
                <w:highlight w:val="none"/>
              </w:rPr>
              <w:t>公开</w:t>
            </w:r>
          </w:p>
          <w:p>
            <w:pPr>
              <w:keepNext w:val="0"/>
              <w:keepLines w:val="0"/>
              <w:pageBreakBefore w:val="0"/>
              <w:kinsoku/>
              <w:wordWrap/>
              <w:overflowPunct/>
              <w:topLinePunct w:val="0"/>
              <w:autoSpaceDE/>
              <w:autoSpaceDN/>
              <w:bidi w:val="0"/>
              <w:adjustRightInd/>
              <w:spacing w:line="570" w:lineRule="exact"/>
              <w:ind w:left="473"/>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sz w:val="20"/>
                <w:szCs w:val="20"/>
                <w:highlight w:val="none"/>
              </w:rPr>
              <w:t>招标</w:t>
            </w:r>
          </w:p>
        </w:tc>
        <w:tc>
          <w:tcPr>
            <w:tcW w:w="1230"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58" w:line="570" w:lineRule="exact"/>
              <w:ind w:left="475"/>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position w:val="7"/>
                <w:sz w:val="20"/>
                <w:szCs w:val="20"/>
                <w:highlight w:val="none"/>
              </w:rPr>
              <w:t>邀请</w:t>
            </w:r>
          </w:p>
          <w:p>
            <w:pPr>
              <w:keepNext w:val="0"/>
              <w:keepLines w:val="0"/>
              <w:pageBreakBefore w:val="0"/>
              <w:kinsoku/>
              <w:wordWrap/>
              <w:overflowPunct/>
              <w:topLinePunct w:val="0"/>
              <w:autoSpaceDE/>
              <w:autoSpaceDN/>
              <w:bidi w:val="0"/>
              <w:adjustRightInd/>
              <w:spacing w:line="570" w:lineRule="exact"/>
              <w:ind w:left="475"/>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sz w:val="20"/>
                <w:szCs w:val="20"/>
                <w:highlight w:val="none"/>
              </w:rPr>
              <w:t>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18"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127" w:line="570" w:lineRule="exact"/>
              <w:ind w:left="229"/>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sz w:val="20"/>
                <w:szCs w:val="20"/>
                <w:highlight w:val="none"/>
              </w:rPr>
              <w:t>建筑安装工程</w:t>
            </w:r>
          </w:p>
        </w:tc>
        <w:tc>
          <w:tcPr>
            <w:tcW w:w="982"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126" w:line="570" w:lineRule="exact"/>
              <w:ind w:left="492"/>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position w:val="1"/>
                <w:sz w:val="20"/>
                <w:szCs w:val="20"/>
                <w:highlight w:val="none"/>
              </w:rPr>
              <w:t>√</w:t>
            </w:r>
          </w:p>
        </w:tc>
        <w:tc>
          <w:tcPr>
            <w:tcW w:w="1260"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line="570" w:lineRule="exact"/>
              <w:rPr>
                <w:rFonts w:hint="eastAsia" w:ascii="方正仿宋_GBK" w:hAnsi="方正仿宋_GBK" w:eastAsia="方正仿宋_GBK" w:cs="方正仿宋_GBK"/>
                <w:spacing w:val="6"/>
                <w:sz w:val="21"/>
                <w:highlight w:val="none"/>
              </w:rPr>
            </w:pPr>
          </w:p>
        </w:tc>
        <w:tc>
          <w:tcPr>
            <w:tcW w:w="904"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line="570" w:lineRule="exact"/>
              <w:rPr>
                <w:rFonts w:hint="eastAsia" w:ascii="方正仿宋_GBK" w:hAnsi="方正仿宋_GBK" w:eastAsia="方正仿宋_GBK" w:cs="方正仿宋_GBK"/>
                <w:spacing w:val="6"/>
                <w:sz w:val="21"/>
                <w:highlight w:val="none"/>
              </w:rPr>
            </w:pPr>
          </w:p>
        </w:tc>
        <w:tc>
          <w:tcPr>
            <w:tcW w:w="1213"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126" w:line="570" w:lineRule="exact"/>
              <w:ind w:left="623"/>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position w:val="1"/>
                <w:sz w:val="20"/>
                <w:szCs w:val="20"/>
                <w:highlight w:val="none"/>
              </w:rPr>
              <w:t>√</w:t>
            </w:r>
          </w:p>
        </w:tc>
        <w:tc>
          <w:tcPr>
            <w:tcW w:w="1212"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126" w:line="570" w:lineRule="exact"/>
              <w:ind w:left="625"/>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position w:val="1"/>
                <w:sz w:val="20"/>
                <w:szCs w:val="20"/>
                <w:highlight w:val="none"/>
              </w:rPr>
              <w:t>√</w:t>
            </w:r>
          </w:p>
        </w:tc>
        <w:tc>
          <w:tcPr>
            <w:tcW w:w="1230"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line="570" w:lineRule="exact"/>
              <w:rPr>
                <w:rFonts w:hint="eastAsia" w:ascii="方正仿宋_GBK" w:hAnsi="方正仿宋_GBK" w:eastAsia="方正仿宋_GBK" w:cs="方正仿宋_GBK"/>
                <w:spacing w:val="6"/>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18"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127" w:line="570" w:lineRule="exact"/>
              <w:ind w:left="655"/>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sz w:val="20"/>
                <w:szCs w:val="20"/>
                <w:highlight w:val="none"/>
              </w:rPr>
              <w:t>监理</w:t>
            </w:r>
          </w:p>
        </w:tc>
        <w:tc>
          <w:tcPr>
            <w:tcW w:w="982"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127" w:line="570" w:lineRule="exact"/>
              <w:ind w:left="492"/>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position w:val="1"/>
                <w:sz w:val="20"/>
                <w:szCs w:val="20"/>
                <w:highlight w:val="none"/>
              </w:rPr>
              <w:t>√</w:t>
            </w:r>
          </w:p>
        </w:tc>
        <w:tc>
          <w:tcPr>
            <w:tcW w:w="1260"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line="570" w:lineRule="exact"/>
              <w:rPr>
                <w:rFonts w:hint="eastAsia" w:ascii="方正仿宋_GBK" w:hAnsi="方正仿宋_GBK" w:eastAsia="方正仿宋_GBK" w:cs="方正仿宋_GBK"/>
                <w:spacing w:val="6"/>
                <w:sz w:val="21"/>
                <w:highlight w:val="none"/>
              </w:rPr>
            </w:pPr>
          </w:p>
        </w:tc>
        <w:tc>
          <w:tcPr>
            <w:tcW w:w="904"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line="570" w:lineRule="exact"/>
              <w:rPr>
                <w:rFonts w:hint="eastAsia" w:ascii="方正仿宋_GBK" w:hAnsi="方正仿宋_GBK" w:eastAsia="方正仿宋_GBK" w:cs="方正仿宋_GBK"/>
                <w:spacing w:val="6"/>
                <w:sz w:val="21"/>
                <w:highlight w:val="none"/>
              </w:rPr>
            </w:pPr>
          </w:p>
        </w:tc>
        <w:tc>
          <w:tcPr>
            <w:tcW w:w="1213"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127" w:line="570" w:lineRule="exact"/>
              <w:ind w:left="623"/>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position w:val="1"/>
                <w:sz w:val="20"/>
                <w:szCs w:val="20"/>
                <w:highlight w:val="none"/>
              </w:rPr>
              <w:t>√</w:t>
            </w:r>
          </w:p>
        </w:tc>
        <w:tc>
          <w:tcPr>
            <w:tcW w:w="1212"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127" w:line="570" w:lineRule="exact"/>
              <w:ind w:left="625"/>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position w:val="1"/>
                <w:sz w:val="20"/>
                <w:szCs w:val="20"/>
                <w:highlight w:val="none"/>
              </w:rPr>
              <w:t>√</w:t>
            </w:r>
          </w:p>
        </w:tc>
        <w:tc>
          <w:tcPr>
            <w:tcW w:w="1230"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line="570" w:lineRule="exact"/>
              <w:rPr>
                <w:rFonts w:hint="eastAsia" w:ascii="方正仿宋_GBK" w:hAnsi="方正仿宋_GBK" w:eastAsia="方正仿宋_GBK" w:cs="方正仿宋_GBK"/>
                <w:spacing w:val="6"/>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518"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126" w:line="570" w:lineRule="exact"/>
              <w:ind w:left="648"/>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sz w:val="20"/>
                <w:szCs w:val="20"/>
                <w:highlight w:val="none"/>
              </w:rPr>
              <w:t>设备</w:t>
            </w:r>
          </w:p>
        </w:tc>
        <w:tc>
          <w:tcPr>
            <w:tcW w:w="982"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127" w:line="570" w:lineRule="exact"/>
              <w:ind w:left="492" w:leftChars="0"/>
              <w:rPr>
                <w:rFonts w:hint="eastAsia" w:ascii="方正仿宋_GBK" w:hAnsi="方正仿宋_GBK" w:eastAsia="方正仿宋_GBK" w:cs="方正仿宋_GBK"/>
                <w:spacing w:val="6"/>
                <w:kern w:val="2"/>
                <w:sz w:val="20"/>
                <w:szCs w:val="20"/>
                <w:highlight w:val="none"/>
                <w:lang w:val="en-US" w:eastAsia="zh-CN" w:bidi="ar-SA"/>
              </w:rPr>
            </w:pPr>
            <w:r>
              <w:rPr>
                <w:rFonts w:hint="eastAsia" w:ascii="方正仿宋_GBK" w:hAnsi="方正仿宋_GBK" w:eastAsia="方正仿宋_GBK" w:cs="方正仿宋_GBK"/>
                <w:spacing w:val="6"/>
                <w:position w:val="1"/>
                <w:sz w:val="20"/>
                <w:szCs w:val="20"/>
                <w:highlight w:val="none"/>
              </w:rPr>
              <w:t>√</w:t>
            </w:r>
          </w:p>
        </w:tc>
        <w:tc>
          <w:tcPr>
            <w:tcW w:w="1260"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line="570" w:lineRule="exact"/>
              <w:rPr>
                <w:rFonts w:hint="eastAsia" w:ascii="方正仿宋_GBK" w:hAnsi="方正仿宋_GBK" w:eastAsia="方正仿宋_GBK" w:cs="方正仿宋_GBK"/>
                <w:spacing w:val="6"/>
                <w:kern w:val="2"/>
                <w:sz w:val="21"/>
                <w:szCs w:val="22"/>
                <w:highlight w:val="none"/>
                <w:lang w:val="en-US" w:eastAsia="zh-CN" w:bidi="ar-SA"/>
              </w:rPr>
            </w:pPr>
          </w:p>
        </w:tc>
        <w:tc>
          <w:tcPr>
            <w:tcW w:w="904"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line="570" w:lineRule="exact"/>
              <w:rPr>
                <w:rFonts w:hint="eastAsia" w:ascii="方正仿宋_GBK" w:hAnsi="方正仿宋_GBK" w:eastAsia="方正仿宋_GBK" w:cs="方正仿宋_GBK"/>
                <w:spacing w:val="6"/>
                <w:kern w:val="2"/>
                <w:sz w:val="21"/>
                <w:szCs w:val="22"/>
                <w:highlight w:val="none"/>
                <w:lang w:val="en-US" w:eastAsia="zh-CN" w:bidi="ar-SA"/>
              </w:rPr>
            </w:pPr>
          </w:p>
        </w:tc>
        <w:tc>
          <w:tcPr>
            <w:tcW w:w="1213"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127" w:line="570" w:lineRule="exact"/>
              <w:ind w:left="623" w:leftChars="0"/>
              <w:rPr>
                <w:rFonts w:hint="eastAsia" w:ascii="方正仿宋_GBK" w:hAnsi="方正仿宋_GBK" w:eastAsia="方正仿宋_GBK" w:cs="方正仿宋_GBK"/>
                <w:spacing w:val="6"/>
                <w:kern w:val="2"/>
                <w:sz w:val="20"/>
                <w:szCs w:val="20"/>
                <w:highlight w:val="none"/>
                <w:lang w:val="en-US" w:eastAsia="zh-CN" w:bidi="ar-SA"/>
              </w:rPr>
            </w:pPr>
            <w:r>
              <w:rPr>
                <w:rFonts w:hint="eastAsia" w:ascii="方正仿宋_GBK" w:hAnsi="方正仿宋_GBK" w:eastAsia="方正仿宋_GBK" w:cs="方正仿宋_GBK"/>
                <w:spacing w:val="6"/>
                <w:position w:val="1"/>
                <w:sz w:val="20"/>
                <w:szCs w:val="20"/>
                <w:highlight w:val="none"/>
              </w:rPr>
              <w:t>√</w:t>
            </w:r>
          </w:p>
        </w:tc>
        <w:tc>
          <w:tcPr>
            <w:tcW w:w="1212"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127" w:line="570" w:lineRule="exact"/>
              <w:ind w:left="625" w:leftChars="0"/>
              <w:rPr>
                <w:rFonts w:hint="eastAsia" w:ascii="方正仿宋_GBK" w:hAnsi="方正仿宋_GBK" w:eastAsia="方正仿宋_GBK" w:cs="方正仿宋_GBK"/>
                <w:spacing w:val="6"/>
                <w:kern w:val="2"/>
                <w:sz w:val="20"/>
                <w:szCs w:val="20"/>
                <w:highlight w:val="none"/>
                <w:lang w:val="en-US" w:eastAsia="zh-CN" w:bidi="ar-SA"/>
              </w:rPr>
            </w:pPr>
            <w:r>
              <w:rPr>
                <w:rFonts w:hint="eastAsia" w:ascii="方正仿宋_GBK" w:hAnsi="方正仿宋_GBK" w:eastAsia="方正仿宋_GBK" w:cs="方正仿宋_GBK"/>
                <w:spacing w:val="6"/>
                <w:position w:val="1"/>
                <w:sz w:val="20"/>
                <w:szCs w:val="20"/>
                <w:highlight w:val="none"/>
              </w:rPr>
              <w:t>√</w:t>
            </w:r>
          </w:p>
        </w:tc>
        <w:tc>
          <w:tcPr>
            <w:tcW w:w="1230"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line="570" w:lineRule="exact"/>
              <w:rPr>
                <w:rFonts w:hint="eastAsia" w:ascii="方正仿宋_GBK" w:hAnsi="方正仿宋_GBK" w:eastAsia="方正仿宋_GBK" w:cs="方正仿宋_GBK"/>
                <w:spacing w:val="6"/>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518"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129" w:line="570" w:lineRule="exact"/>
              <w:ind w:left="648"/>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sz w:val="20"/>
                <w:szCs w:val="20"/>
                <w:highlight w:val="none"/>
              </w:rPr>
              <w:t>设计</w:t>
            </w:r>
          </w:p>
        </w:tc>
        <w:tc>
          <w:tcPr>
            <w:tcW w:w="982"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129" w:line="570" w:lineRule="exact"/>
              <w:ind w:left="492"/>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position w:val="1"/>
                <w:sz w:val="20"/>
                <w:szCs w:val="20"/>
                <w:highlight w:val="none"/>
              </w:rPr>
              <w:t>√</w:t>
            </w:r>
          </w:p>
        </w:tc>
        <w:tc>
          <w:tcPr>
            <w:tcW w:w="1260"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line="570" w:lineRule="exact"/>
              <w:rPr>
                <w:rFonts w:hint="eastAsia" w:ascii="方正仿宋_GBK" w:hAnsi="方正仿宋_GBK" w:eastAsia="方正仿宋_GBK" w:cs="方正仿宋_GBK"/>
                <w:spacing w:val="6"/>
                <w:sz w:val="21"/>
                <w:highlight w:val="none"/>
              </w:rPr>
            </w:pPr>
          </w:p>
        </w:tc>
        <w:tc>
          <w:tcPr>
            <w:tcW w:w="904"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line="570" w:lineRule="exact"/>
              <w:rPr>
                <w:rFonts w:hint="eastAsia" w:ascii="方正仿宋_GBK" w:hAnsi="方正仿宋_GBK" w:eastAsia="方正仿宋_GBK" w:cs="方正仿宋_GBK"/>
                <w:spacing w:val="6"/>
                <w:sz w:val="21"/>
                <w:highlight w:val="none"/>
              </w:rPr>
            </w:pPr>
          </w:p>
        </w:tc>
        <w:tc>
          <w:tcPr>
            <w:tcW w:w="1213"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129" w:line="570" w:lineRule="exact"/>
              <w:ind w:left="623"/>
              <w:rPr>
                <w:rFonts w:hint="eastAsia" w:ascii="方正仿宋_GBK" w:hAnsi="方正仿宋_GBK" w:eastAsia="方正仿宋_GBK" w:cs="方正仿宋_GBK"/>
                <w:spacing w:val="6"/>
                <w:sz w:val="20"/>
                <w:szCs w:val="20"/>
                <w:highlight w:val="none"/>
              </w:rPr>
            </w:pPr>
            <w:r>
              <w:rPr>
                <w:rFonts w:hint="eastAsia" w:ascii="方正仿宋_GBK" w:hAnsi="方正仿宋_GBK" w:eastAsia="方正仿宋_GBK" w:cs="方正仿宋_GBK"/>
                <w:spacing w:val="6"/>
                <w:position w:val="1"/>
                <w:sz w:val="20"/>
                <w:szCs w:val="20"/>
                <w:highlight w:val="none"/>
              </w:rPr>
              <w:t>√</w:t>
            </w:r>
          </w:p>
        </w:tc>
        <w:tc>
          <w:tcPr>
            <w:tcW w:w="1212" w:type="dxa"/>
            <w:tcBorders>
              <w:top w:val="single" w:color="000000" w:sz="2" w:space="0"/>
              <w:bottom w:val="single" w:color="000000" w:sz="2" w:space="0"/>
            </w:tcBorders>
            <w:vAlign w:val="center"/>
          </w:tcPr>
          <w:p>
            <w:pPr>
              <w:keepNext w:val="0"/>
              <w:keepLines w:val="0"/>
              <w:pageBreakBefore w:val="0"/>
              <w:kinsoku/>
              <w:wordWrap/>
              <w:overflowPunct/>
              <w:topLinePunct w:val="0"/>
              <w:autoSpaceDE/>
              <w:autoSpaceDN/>
              <w:bidi w:val="0"/>
              <w:adjustRightInd/>
              <w:spacing w:line="570" w:lineRule="exact"/>
              <w:jc w:val="center"/>
              <w:rPr>
                <w:rFonts w:hint="eastAsia" w:ascii="方正仿宋_GBK" w:hAnsi="方正仿宋_GBK" w:eastAsia="方正仿宋_GBK" w:cs="方正仿宋_GBK"/>
                <w:spacing w:val="6"/>
                <w:sz w:val="21"/>
                <w:highlight w:val="none"/>
              </w:rPr>
            </w:pPr>
            <w:r>
              <w:rPr>
                <w:rFonts w:hint="eastAsia" w:ascii="方正仿宋_GBK" w:hAnsi="方正仿宋_GBK" w:eastAsia="方正仿宋_GBK" w:cs="方正仿宋_GBK"/>
                <w:spacing w:val="6"/>
                <w:position w:val="1"/>
                <w:sz w:val="20"/>
                <w:szCs w:val="20"/>
                <w:highlight w:val="none"/>
                <w:lang w:val="en-US" w:eastAsia="zh-CN"/>
              </w:rPr>
              <w:t xml:space="preserve"> </w:t>
            </w:r>
            <w:r>
              <w:rPr>
                <w:rFonts w:hint="eastAsia" w:ascii="方正仿宋_GBK" w:hAnsi="方正仿宋_GBK" w:eastAsia="方正仿宋_GBK" w:cs="方正仿宋_GBK"/>
                <w:spacing w:val="6"/>
                <w:position w:val="1"/>
                <w:sz w:val="20"/>
                <w:szCs w:val="20"/>
                <w:highlight w:val="none"/>
              </w:rPr>
              <w:t>√</w:t>
            </w:r>
          </w:p>
        </w:tc>
        <w:tc>
          <w:tcPr>
            <w:tcW w:w="1230" w:type="dxa"/>
            <w:tcBorders>
              <w:top w:val="single" w:color="000000" w:sz="2" w:space="0"/>
              <w:bottom w:val="single" w:color="000000" w:sz="2" w:space="0"/>
            </w:tcBorders>
            <w:vAlign w:val="top"/>
          </w:tcPr>
          <w:p>
            <w:pPr>
              <w:keepNext w:val="0"/>
              <w:keepLines w:val="0"/>
              <w:pageBreakBefore w:val="0"/>
              <w:kinsoku/>
              <w:wordWrap/>
              <w:overflowPunct/>
              <w:topLinePunct w:val="0"/>
              <w:autoSpaceDE/>
              <w:autoSpaceDN/>
              <w:bidi w:val="0"/>
              <w:adjustRightInd/>
              <w:spacing w:before="129" w:line="570" w:lineRule="exact"/>
              <w:ind w:left="625"/>
              <w:rPr>
                <w:rFonts w:hint="eastAsia" w:ascii="方正仿宋_GBK" w:hAnsi="方正仿宋_GBK" w:eastAsia="方正仿宋_GBK" w:cs="方正仿宋_GBK"/>
                <w:spacing w:val="6"/>
                <w:sz w:val="20"/>
                <w:szCs w:val="20"/>
                <w:highlight w:val="none"/>
              </w:rPr>
            </w:pPr>
          </w:p>
        </w:tc>
      </w:tr>
    </w:tbl>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bookmarkStart w:id="53" w:name="_Toc12349"/>
      <w:bookmarkStart w:id="54" w:name="_Toc10852"/>
      <w:r>
        <w:rPr>
          <w:rFonts w:hint="eastAsia" w:ascii="方正楷体_GBK" w:hAnsi="方正楷体_GBK" w:eastAsia="方正楷体_GBK" w:cs="方正楷体_GBK"/>
          <w:b/>
          <w:bCs/>
          <w:color w:val="auto"/>
          <w:spacing w:val="6"/>
          <w:sz w:val="32"/>
          <w:szCs w:val="32"/>
          <w:highlight w:val="none"/>
          <w:lang w:val="en-US" w:eastAsia="zh-CN"/>
        </w:rPr>
        <w:t>6.3项目公告公示</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根据《关于印发《新疆维吾自治区财政衔接推进乡村振兴补助资金(巩固拓展脱贫攻坚成果和乡村振兴任务)项目管理办法(暂行)》的通知》（新乡振〔2021〕32号）文件要求，按事前、事中、事后在乡、村以书面形式进行公示公告，接受群众监督。本项目建筑安装、监理、设计招标信息在喀什地区公共资源交易网进行公告，中标单位通过喀什地区公共资源交易网进行公示。</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jc w:val="both"/>
        <w:textAlignment w:val="auto"/>
        <w:outlineLvl w:val="0"/>
        <w:rPr>
          <w:rFonts w:hint="eastAsia" w:ascii="方正黑体_GBK" w:hAnsi="方正黑体_GBK" w:eastAsia="方正黑体_GBK" w:cs="方正黑体_GBK"/>
          <w:b w:val="0"/>
          <w:bCs w:val="0"/>
          <w:color w:val="auto"/>
          <w:spacing w:val="6"/>
          <w:sz w:val="32"/>
          <w:szCs w:val="32"/>
          <w:highlight w:val="none"/>
          <w:lang w:val="en-US" w:eastAsia="zh-CN"/>
        </w:rPr>
      </w:pPr>
      <w:r>
        <w:rPr>
          <w:rFonts w:hint="eastAsia" w:ascii="方正黑体_GBK" w:hAnsi="方正黑体_GBK" w:eastAsia="方正黑体_GBK" w:cs="方正黑体_GBK"/>
          <w:b w:val="0"/>
          <w:bCs w:val="0"/>
          <w:color w:val="auto"/>
          <w:spacing w:val="6"/>
          <w:sz w:val="32"/>
          <w:szCs w:val="32"/>
          <w:highlight w:val="none"/>
          <w:lang w:val="en-US" w:eastAsia="zh-CN"/>
        </w:rPr>
        <w:t>7.项目绩效目标及效益分析</w:t>
      </w:r>
      <w:bookmarkEnd w:id="53"/>
      <w:bookmarkEnd w:id="54"/>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bookmarkStart w:id="55" w:name="_Toc28874"/>
      <w:bookmarkStart w:id="56" w:name="_Toc8330"/>
      <w:r>
        <w:rPr>
          <w:rFonts w:hint="eastAsia" w:ascii="方正楷体_GBK" w:hAnsi="方正楷体_GBK" w:eastAsia="方正楷体_GBK" w:cs="方正楷体_GBK"/>
          <w:b/>
          <w:bCs/>
          <w:color w:val="auto"/>
          <w:spacing w:val="6"/>
          <w:sz w:val="32"/>
          <w:szCs w:val="32"/>
          <w:highlight w:val="none"/>
          <w:lang w:val="en-US" w:eastAsia="zh-CN"/>
        </w:rPr>
        <w:t>7.1年度目标</w:t>
      </w:r>
      <w:bookmarkEnd w:id="55"/>
      <w:bookmarkEnd w:id="56"/>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本项目总投资为3416.36万元，主要用于更换输配水管道125.7千米，新建配套闸阀井51座。项目的实施，改善项目区居民用水条件，提高农民生活品质。预计受益农村人口不低于44775人，解决脱贫人口饮水安全问题人数不低于5547人，受益巩固脱贫户满意度可达100%。</w:t>
      </w:r>
    </w:p>
    <w:p>
      <w:pPr>
        <w:pStyle w:val="17"/>
        <w:keepNext w:val="0"/>
        <w:keepLines w:val="0"/>
        <w:pageBreakBefore w:val="0"/>
        <w:widowControl w:val="0"/>
        <w:kinsoku/>
        <w:wordWrap/>
        <w:overflowPunct/>
        <w:topLinePunct w:val="0"/>
        <w:autoSpaceDE/>
        <w:autoSpaceDN/>
        <w:bidi w:val="0"/>
        <w:adjustRightInd/>
        <w:snapToGrid/>
        <w:spacing w:line="570" w:lineRule="exact"/>
        <w:ind w:firstLine="667" w:firstLineChars="200"/>
        <w:textAlignment w:val="auto"/>
        <w:outlineLvl w:val="9"/>
        <w:rPr>
          <w:rFonts w:hint="eastAsia" w:ascii="方正仿宋_GBK" w:hAnsi="方正仿宋_GBK" w:eastAsia="方正仿宋_GBK" w:cs="方正仿宋_GBK"/>
          <w:b/>
          <w:bCs/>
          <w:color w:val="auto"/>
          <w:spacing w:val="6"/>
          <w:kern w:val="2"/>
          <w:sz w:val="32"/>
          <w:szCs w:val="32"/>
          <w:highlight w:val="none"/>
          <w:lang w:val="en-US" w:eastAsia="zh-CN" w:bidi="ar-SA"/>
        </w:rPr>
      </w:pPr>
      <w:bookmarkStart w:id="57" w:name="_Toc14249"/>
      <w:bookmarkStart w:id="58" w:name="_Toc31977"/>
      <w:r>
        <w:rPr>
          <w:rFonts w:hint="eastAsia" w:ascii="方正仿宋_GBK" w:hAnsi="方正仿宋_GBK" w:eastAsia="方正仿宋_GBK" w:cs="方正仿宋_GBK"/>
          <w:b/>
          <w:bCs/>
          <w:color w:val="auto"/>
          <w:spacing w:val="6"/>
          <w:kern w:val="2"/>
          <w:sz w:val="32"/>
          <w:szCs w:val="32"/>
          <w:highlight w:val="none"/>
          <w:lang w:val="en-US" w:eastAsia="zh-CN" w:bidi="ar-SA"/>
        </w:rPr>
        <w:t>7.1.1项目覆盖情况</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本项目覆盖麦盖提县吐曼塔勒乡，涉及受益巩固脱贫人口5547人，改善项目区居民用水条件。</w:t>
      </w:r>
    </w:p>
    <w:bookmarkEnd w:id="57"/>
    <w:bookmarkEnd w:id="58"/>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bookmarkStart w:id="59" w:name="_Toc32041"/>
      <w:bookmarkStart w:id="60" w:name="_Toc5003"/>
      <w:r>
        <w:rPr>
          <w:rFonts w:hint="eastAsia" w:ascii="方正楷体_GBK" w:hAnsi="方正楷体_GBK" w:eastAsia="方正楷体_GBK" w:cs="方正楷体_GBK"/>
          <w:b/>
          <w:bCs/>
          <w:color w:val="auto"/>
          <w:spacing w:val="6"/>
          <w:sz w:val="32"/>
          <w:szCs w:val="32"/>
          <w:highlight w:val="none"/>
          <w:lang w:val="en-US" w:eastAsia="zh-CN"/>
        </w:rPr>
        <w:t>7.2社会效益</w:t>
      </w:r>
      <w:bookmarkEnd w:id="59"/>
      <w:bookmarkEnd w:id="60"/>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 xml:space="preserve">工程建成后不但使农民身体健康得到保障，也促进了家庭联产承包责任制的实施，给畜牧业、农业及庭院经济的发展提供了可靠的保证。 </w:t>
      </w:r>
      <w:bookmarkStart w:id="61" w:name="_Toc13021"/>
      <w:bookmarkStart w:id="62" w:name="_Toc15297"/>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default" w:ascii="方正楷体_GBK" w:hAnsi="方正楷体_GBK" w:eastAsia="方正楷体_GBK" w:cs="方正楷体_GBK"/>
          <w:b/>
          <w:bCs/>
          <w:color w:val="auto"/>
          <w:spacing w:val="6"/>
          <w:sz w:val="32"/>
          <w:szCs w:val="32"/>
          <w:highlight w:val="none"/>
          <w:lang w:val="en-US" w:eastAsia="zh-CN"/>
        </w:rPr>
      </w:pPr>
      <w:r>
        <w:rPr>
          <w:rFonts w:hint="eastAsia" w:ascii="方正楷体_GBK" w:hAnsi="方正楷体_GBK" w:eastAsia="方正楷体_GBK" w:cs="方正楷体_GBK"/>
          <w:b/>
          <w:bCs/>
          <w:color w:val="auto"/>
          <w:spacing w:val="6"/>
          <w:sz w:val="32"/>
          <w:szCs w:val="32"/>
          <w:highlight w:val="none"/>
          <w:lang w:val="en-US" w:eastAsia="zh-CN"/>
        </w:rPr>
        <w:t>7.3生态效益</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default"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无。</w:t>
      </w:r>
    </w:p>
    <w:p>
      <w:pPr>
        <w:keepNext w:val="0"/>
        <w:keepLines w:val="0"/>
        <w:pageBreakBefore w:val="0"/>
        <w:widowControl w:val="0"/>
        <w:kinsoku/>
        <w:wordWrap/>
        <w:overflowPunct/>
        <w:topLinePunct w:val="0"/>
        <w:autoSpaceDE/>
        <w:autoSpaceDN/>
        <w:bidi w:val="0"/>
        <w:adjustRightInd/>
        <w:snapToGrid/>
        <w:spacing w:line="570" w:lineRule="exact"/>
        <w:ind w:firstLine="667" w:firstLineChars="200"/>
        <w:jc w:val="both"/>
        <w:textAlignment w:val="auto"/>
        <w:outlineLvl w:val="1"/>
        <w:rPr>
          <w:rFonts w:hint="eastAsia" w:ascii="方正楷体_GBK" w:hAnsi="方正楷体_GBK" w:eastAsia="方正楷体_GBK" w:cs="方正楷体_GBK"/>
          <w:b/>
          <w:bCs/>
          <w:color w:val="auto"/>
          <w:spacing w:val="6"/>
          <w:sz w:val="32"/>
          <w:szCs w:val="32"/>
          <w:highlight w:val="none"/>
          <w:lang w:val="en-US" w:eastAsia="zh-CN"/>
        </w:rPr>
      </w:pPr>
      <w:r>
        <w:rPr>
          <w:rFonts w:hint="eastAsia" w:ascii="方正楷体_GBK" w:hAnsi="方正楷体_GBK" w:eastAsia="方正楷体_GBK" w:cs="方正楷体_GBK"/>
          <w:b/>
          <w:bCs/>
          <w:color w:val="auto"/>
          <w:spacing w:val="6"/>
          <w:sz w:val="32"/>
          <w:szCs w:val="32"/>
          <w:highlight w:val="none"/>
          <w:lang w:val="en-US" w:eastAsia="zh-CN"/>
        </w:rPr>
        <w:t>7.4可持续性影响</w:t>
      </w:r>
      <w:bookmarkEnd w:id="61"/>
      <w:bookmarkEnd w:id="62"/>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本项目不但在实施过程中对当地经济、脱贫群众带来直接经济利益，既是本项目实施以后，也对当地经济带来持续发展的经济影响。可持续影响受益年限不低于30年。</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jc w:val="both"/>
        <w:textAlignment w:val="auto"/>
        <w:outlineLvl w:val="0"/>
        <w:rPr>
          <w:rFonts w:hint="eastAsia" w:ascii="方正黑体_GBK" w:hAnsi="方正黑体_GBK" w:eastAsia="方正黑体_GBK" w:cs="方正黑体_GBK"/>
          <w:b w:val="0"/>
          <w:bCs w:val="0"/>
          <w:color w:val="auto"/>
          <w:spacing w:val="6"/>
          <w:sz w:val="32"/>
          <w:szCs w:val="32"/>
          <w:highlight w:val="none"/>
          <w:lang w:val="en-US" w:eastAsia="zh-CN"/>
        </w:rPr>
      </w:pPr>
      <w:bookmarkStart w:id="63" w:name="_Toc29530"/>
      <w:bookmarkStart w:id="64" w:name="_Toc11507"/>
      <w:r>
        <w:rPr>
          <w:rFonts w:hint="eastAsia" w:ascii="方正黑体_GBK" w:hAnsi="方正黑体_GBK" w:eastAsia="方正黑体_GBK" w:cs="方正黑体_GBK"/>
          <w:b w:val="0"/>
          <w:bCs w:val="0"/>
          <w:color w:val="auto"/>
          <w:spacing w:val="6"/>
          <w:sz w:val="32"/>
          <w:szCs w:val="32"/>
          <w:highlight w:val="none"/>
          <w:lang w:val="en-US" w:eastAsia="zh-CN"/>
        </w:rPr>
        <w:t>8.风险分析</w:t>
      </w:r>
      <w:bookmarkEnd w:id="63"/>
      <w:bookmarkEnd w:id="64"/>
    </w:p>
    <w:p>
      <w:pPr>
        <w:pStyle w:val="17"/>
        <w:keepNext w:val="0"/>
        <w:keepLines w:val="0"/>
        <w:pageBreakBefore w:val="0"/>
        <w:widowControl w:val="0"/>
        <w:kinsoku/>
        <w:wordWrap/>
        <w:overflowPunct/>
        <w:topLinePunct w:val="0"/>
        <w:autoSpaceDE/>
        <w:autoSpaceDN/>
        <w:bidi w:val="0"/>
        <w:adjustRightInd/>
        <w:snapToGrid w:val="0"/>
        <w:spacing w:line="570" w:lineRule="exact"/>
        <w:ind w:firstLine="667" w:firstLineChars="200"/>
        <w:textAlignment w:val="baseline"/>
        <w:outlineLvl w:val="1"/>
        <w:rPr>
          <w:rFonts w:ascii="Times New Roman" w:hAnsi="Times New Roman" w:eastAsia="方正楷体_GBK" w:cs="方正楷体_GBK"/>
          <w:b/>
          <w:bCs/>
          <w:spacing w:val="6"/>
          <w:sz w:val="32"/>
          <w:szCs w:val="32"/>
          <w:highlight w:val="none"/>
        </w:rPr>
      </w:pPr>
      <w:bookmarkStart w:id="65" w:name="_Toc136618449"/>
      <w:r>
        <w:rPr>
          <w:rFonts w:hint="eastAsia" w:ascii="Times New Roman" w:hAnsi="Times New Roman" w:eastAsia="方正楷体_GBK" w:cs="方正楷体_GBK"/>
          <w:b/>
          <w:bCs/>
          <w:spacing w:val="6"/>
          <w:sz w:val="32"/>
          <w:szCs w:val="32"/>
          <w:highlight w:val="none"/>
        </w:rPr>
        <w:t>８</w:t>
      </w:r>
      <w:r>
        <w:rPr>
          <w:rFonts w:ascii="Times New Roman" w:hAnsi="Times New Roman" w:eastAsia="方正楷体_GBK" w:cs="方正楷体_GBK"/>
          <w:b/>
          <w:bCs/>
          <w:spacing w:val="6"/>
          <w:sz w:val="32"/>
          <w:szCs w:val="32"/>
          <w:highlight w:val="none"/>
        </w:rPr>
        <w:t>.1</w:t>
      </w:r>
      <w:r>
        <w:rPr>
          <w:rFonts w:hint="eastAsia" w:ascii="Times New Roman" w:hAnsi="Times New Roman" w:eastAsia="方正楷体_GBK" w:cs="方正楷体_GBK"/>
          <w:b/>
          <w:bCs/>
          <w:spacing w:val="6"/>
          <w:sz w:val="32"/>
          <w:szCs w:val="32"/>
          <w:highlight w:val="none"/>
        </w:rPr>
        <w:t>主要风险因素</w:t>
      </w:r>
      <w:bookmarkEnd w:id="65"/>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在项目的实施和运营过程中，可能会面临多种风险因素，这些风险可能对项目的进度、质量、成本以及长期效益产生不利影响。以下是对本项目可能面临的主要风险因素的分析：</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b/>
          <w:bCs/>
          <w:spacing w:val="6"/>
          <w:sz w:val="32"/>
          <w:szCs w:val="32"/>
          <w:highlight w:val="none"/>
          <w:lang w:eastAsia="zh-CN"/>
        </w:rPr>
      </w:pPr>
      <w:r>
        <w:rPr>
          <w:rFonts w:hint="eastAsia" w:ascii="Times New Roman" w:hAnsi="Times New Roman" w:eastAsia="方正仿宋_GBK" w:cs="方正仿宋_GBK"/>
          <w:b/>
          <w:bCs/>
          <w:spacing w:val="6"/>
          <w:sz w:val="32"/>
          <w:szCs w:val="32"/>
          <w:highlight w:val="none"/>
          <w:lang w:eastAsia="zh-CN"/>
        </w:rPr>
        <w:t>8.1.1 自然风险</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自然风险主要包括气候、地质和水文等自然因素的变化。例如，极端天气、地震、洪水等自然灾害可能导致工程进度延误、成本增加，甚至可能对项目设施造成损坏，影响项目的长期运营。</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b/>
          <w:bCs/>
          <w:spacing w:val="6"/>
          <w:sz w:val="32"/>
          <w:szCs w:val="32"/>
          <w:highlight w:val="none"/>
          <w:lang w:eastAsia="zh-CN"/>
        </w:rPr>
      </w:pPr>
      <w:r>
        <w:rPr>
          <w:rFonts w:hint="eastAsia" w:ascii="Times New Roman" w:hAnsi="Times New Roman" w:eastAsia="方正仿宋_GBK" w:cs="方正仿宋_GBK"/>
          <w:b/>
          <w:bCs/>
          <w:spacing w:val="6"/>
          <w:sz w:val="32"/>
          <w:szCs w:val="32"/>
          <w:highlight w:val="none"/>
          <w:lang w:eastAsia="zh-CN"/>
        </w:rPr>
        <w:t>8.1.2 技术风险</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技术风险主要来源于项目设计、施工和运营过程中的技术难题。例如，设计方案的合理性、施工技术的可行性、运营管理的效率等都可能对项目产生不利影响。如果技术解决方案不当，可能导致项目无法达到预期效果，甚至可能引发安全问题。</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b/>
          <w:bCs/>
          <w:spacing w:val="6"/>
          <w:sz w:val="32"/>
          <w:szCs w:val="32"/>
          <w:highlight w:val="none"/>
          <w:lang w:eastAsia="zh-CN"/>
        </w:rPr>
      </w:pPr>
      <w:r>
        <w:rPr>
          <w:rFonts w:hint="eastAsia" w:ascii="Times New Roman" w:hAnsi="Times New Roman" w:eastAsia="方正仿宋_GBK" w:cs="方正仿宋_GBK"/>
          <w:b/>
          <w:bCs/>
          <w:spacing w:val="6"/>
          <w:sz w:val="32"/>
          <w:szCs w:val="32"/>
          <w:highlight w:val="none"/>
          <w:lang w:eastAsia="zh-CN"/>
        </w:rPr>
        <w:t>8.1.3 经济风险</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经济风险主要来源于项目资金筹措、成本控制和市场变化等方面。如果项目资金筹措不足或成本超出预算，可能导致项目无法按时完成或质量不达标。同时，市场变化也可能对项目产生不利影响，例如原材料价格波动、劳动力成本上升等。</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b/>
          <w:bCs/>
          <w:spacing w:val="6"/>
          <w:sz w:val="32"/>
          <w:szCs w:val="32"/>
          <w:highlight w:val="none"/>
          <w:lang w:eastAsia="zh-CN"/>
        </w:rPr>
      </w:pPr>
      <w:r>
        <w:rPr>
          <w:rFonts w:hint="eastAsia" w:ascii="Times New Roman" w:hAnsi="Times New Roman" w:eastAsia="方正仿宋_GBK" w:cs="方正仿宋_GBK"/>
          <w:b/>
          <w:bCs/>
          <w:spacing w:val="6"/>
          <w:sz w:val="32"/>
          <w:szCs w:val="32"/>
          <w:highlight w:val="none"/>
          <w:lang w:eastAsia="zh-CN"/>
        </w:rPr>
        <w:t>8.1.4 社会风险</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社会风险主要来源于项目对当地社会、环境和文化等方面的影响。例如，项目实施可能导致当地居民的生活环境受到影响，或者与当地的文化传统发生冲突。如果这些问题处理不当，可能引发社会矛盾和冲突，影响项目的顺利实施和长期运营。</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b/>
          <w:bCs/>
          <w:spacing w:val="6"/>
          <w:sz w:val="32"/>
          <w:szCs w:val="32"/>
          <w:highlight w:val="none"/>
          <w:lang w:eastAsia="zh-CN"/>
        </w:rPr>
      </w:pPr>
      <w:r>
        <w:rPr>
          <w:rFonts w:hint="eastAsia" w:ascii="Times New Roman" w:hAnsi="Times New Roman" w:eastAsia="方正仿宋_GBK" w:cs="方正仿宋_GBK"/>
          <w:b/>
          <w:bCs/>
          <w:spacing w:val="6"/>
          <w:sz w:val="32"/>
          <w:szCs w:val="32"/>
          <w:highlight w:val="none"/>
          <w:lang w:eastAsia="zh-CN"/>
        </w:rPr>
        <w:t>8.1.5 政策风险</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政策风险主要来源于国家法律法规、政策调整等方面。如果国家相关法律法规或政策发生变化，可能导致项目无法适应新的政策环境，影响项目的合规性和长期发展。</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b/>
          <w:bCs/>
          <w:spacing w:val="6"/>
          <w:sz w:val="32"/>
          <w:szCs w:val="32"/>
          <w:highlight w:val="none"/>
          <w:lang w:eastAsia="zh-CN"/>
        </w:rPr>
      </w:pPr>
      <w:r>
        <w:rPr>
          <w:rFonts w:hint="eastAsia" w:ascii="Times New Roman" w:hAnsi="Times New Roman" w:eastAsia="方正仿宋_GBK" w:cs="方正仿宋_GBK"/>
          <w:b/>
          <w:bCs/>
          <w:spacing w:val="6"/>
          <w:sz w:val="32"/>
          <w:szCs w:val="32"/>
          <w:highlight w:val="none"/>
          <w:lang w:eastAsia="zh-CN"/>
        </w:rPr>
        <w:t>8.2 风险应对策略</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为应对上述风险，本项目将采取以下策略：</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b/>
          <w:bCs/>
          <w:spacing w:val="6"/>
          <w:sz w:val="32"/>
          <w:szCs w:val="32"/>
          <w:highlight w:val="none"/>
          <w:lang w:eastAsia="zh-CN"/>
        </w:rPr>
      </w:pPr>
      <w:r>
        <w:rPr>
          <w:rFonts w:hint="eastAsia" w:ascii="Times New Roman" w:hAnsi="Times New Roman" w:eastAsia="方正仿宋_GBK" w:cs="方正仿宋_GBK"/>
          <w:b/>
          <w:bCs/>
          <w:spacing w:val="6"/>
          <w:sz w:val="32"/>
          <w:szCs w:val="32"/>
          <w:highlight w:val="none"/>
          <w:lang w:eastAsia="zh-CN"/>
        </w:rPr>
        <w:t>8.2.1 建立完善的风险管理机制</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项目将建立完善的风险管理机制，包括风险识别、评估、监控和应对等环节。通过定期的风险评估和监控，及时发现和应对潜在风险，确保项目的顺利实施和长期运营。</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b/>
          <w:bCs/>
          <w:spacing w:val="6"/>
          <w:sz w:val="32"/>
          <w:szCs w:val="32"/>
          <w:highlight w:val="none"/>
          <w:lang w:eastAsia="zh-CN"/>
        </w:rPr>
      </w:pPr>
      <w:r>
        <w:rPr>
          <w:rFonts w:hint="eastAsia" w:ascii="Times New Roman" w:hAnsi="Times New Roman" w:eastAsia="方正仿宋_GBK" w:cs="方正仿宋_GBK"/>
          <w:b/>
          <w:bCs/>
          <w:spacing w:val="6"/>
          <w:sz w:val="32"/>
          <w:szCs w:val="32"/>
          <w:highlight w:val="none"/>
          <w:lang w:eastAsia="zh-CN"/>
        </w:rPr>
        <w:t>8.2.2 加强与自然灾害的防范和应对</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针对自然风险，项目将加强与气象、地质等部门的沟通合作，及时了解气象和地质信息，制定科学的防范措施和应急预案。同时，加强项目设施的维护和保养，确保其能够抵御自然灾害的侵袭。</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b/>
          <w:bCs/>
          <w:spacing w:val="6"/>
          <w:sz w:val="32"/>
          <w:szCs w:val="32"/>
          <w:highlight w:val="none"/>
          <w:lang w:eastAsia="zh-CN"/>
        </w:rPr>
      </w:pPr>
      <w:r>
        <w:rPr>
          <w:rFonts w:hint="eastAsia" w:ascii="Times New Roman" w:hAnsi="Times New Roman" w:eastAsia="方正仿宋_GBK" w:cs="方正仿宋_GBK"/>
          <w:b/>
          <w:bCs/>
          <w:spacing w:val="6"/>
          <w:sz w:val="32"/>
          <w:szCs w:val="32"/>
          <w:highlight w:val="none"/>
          <w:lang w:eastAsia="zh-CN"/>
        </w:rPr>
        <w:t>8.2.3 强化技术支持和创新</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针对技术风险，项目将强化技术支持和创新，采用先进的技术方案和施工工艺，确保项目的设计、施工和运营都达到先进水平。同时，加强与科研机构的合作，不断引进新技术、新材料和新工艺，提高项目的科技含量和竞争力。</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b/>
          <w:bCs/>
          <w:spacing w:val="6"/>
          <w:sz w:val="32"/>
          <w:szCs w:val="32"/>
          <w:highlight w:val="none"/>
          <w:lang w:eastAsia="zh-CN"/>
        </w:rPr>
      </w:pPr>
      <w:r>
        <w:rPr>
          <w:rFonts w:hint="eastAsia" w:ascii="Times New Roman" w:hAnsi="Times New Roman" w:eastAsia="方正仿宋_GBK" w:cs="方正仿宋_GBK"/>
          <w:b/>
          <w:bCs/>
          <w:spacing w:val="6"/>
          <w:sz w:val="32"/>
          <w:szCs w:val="32"/>
          <w:highlight w:val="none"/>
          <w:lang w:eastAsia="zh-CN"/>
        </w:rPr>
        <w:t>8.2.4 严格控制成本和市场风险</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针对经济风险，项目将严格控制成本和市场风险。在资金筹措方面，积极争取政府补贴、银行贷款等多元化资金来源；在成本控制方面，加强项目预算管理和成本核算，确保项目成本控制在合理范围内。同时，密切关注市场动态，及时调整采购策略和销售策略，降低市场风险对项目的影响。</w:t>
      </w:r>
    </w:p>
    <w:p>
      <w:pPr>
        <w:pStyle w:val="17"/>
        <w:keepNext w:val="0"/>
        <w:keepLines w:val="0"/>
        <w:pageBreakBefore w:val="0"/>
        <w:widowControl w:val="0"/>
        <w:kinsoku/>
        <w:wordWrap/>
        <w:overflowPunct/>
        <w:topLinePunct w:val="0"/>
        <w:autoSpaceDE/>
        <w:autoSpaceDN/>
        <w:bidi w:val="0"/>
        <w:adjustRightInd/>
        <w:snapToGrid w:val="0"/>
        <w:spacing w:line="570" w:lineRule="exact"/>
        <w:ind w:firstLine="664"/>
        <w:textAlignment w:val="baseline"/>
        <w:outlineLvl w:val="9"/>
        <w:rPr>
          <w:rFonts w:hint="eastAsia" w:ascii="Times New Roman" w:hAnsi="Times New Roman" w:eastAsia="方正仿宋_GBK" w:cs="方正仿宋_GBK"/>
          <w:b/>
          <w:bCs/>
          <w:spacing w:val="6"/>
          <w:sz w:val="32"/>
          <w:szCs w:val="32"/>
          <w:highlight w:val="none"/>
          <w:lang w:eastAsia="zh-CN"/>
        </w:rPr>
      </w:pPr>
      <w:r>
        <w:rPr>
          <w:rFonts w:hint="eastAsia" w:ascii="Times New Roman" w:hAnsi="Times New Roman" w:eastAsia="方正仿宋_GBK" w:cs="方正仿宋_GBK"/>
          <w:b/>
          <w:bCs/>
          <w:spacing w:val="6"/>
          <w:sz w:val="32"/>
          <w:szCs w:val="32"/>
          <w:highlight w:val="none"/>
          <w:lang w:eastAsia="zh-CN"/>
        </w:rPr>
        <w:t>8.2.5 加强与当地社会、文化和环境的协调</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针对社会风险和政策风险，项目将加强与当地社会、文化和环境的协调。在项目实施前，充分听取当地居民的意见和建议，确保项目的实施符合当地的实际需求和期望。同时，加强与政府部门的沟通合作，确保项目符合相关法律法规和政策要求。通过加强与社会、文化和环境的协调，降低社会风险和政策风险对项目的影响。</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综上所述，本项目将采取多种措施应对可能面临的风险因素，确保项目的顺利实施和长期运营。同时，项目也将持续关注新的风险因素的出现，不断完善风险管理机制，提高项目的风险应对能力。</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jc w:val="both"/>
        <w:textAlignment w:val="auto"/>
        <w:outlineLvl w:val="0"/>
        <w:rPr>
          <w:rFonts w:hint="eastAsia" w:ascii="方正黑体_GBK" w:hAnsi="方正黑体_GBK" w:eastAsia="方正黑体_GBK" w:cs="方正黑体_GBK"/>
          <w:b w:val="0"/>
          <w:bCs w:val="0"/>
          <w:color w:val="auto"/>
          <w:spacing w:val="6"/>
          <w:sz w:val="32"/>
          <w:szCs w:val="32"/>
          <w:highlight w:val="none"/>
          <w:lang w:val="en-US" w:eastAsia="zh-CN"/>
        </w:rPr>
      </w:pPr>
      <w:r>
        <w:rPr>
          <w:rFonts w:hint="eastAsia" w:ascii="方正黑体_GBK" w:hAnsi="方正黑体_GBK" w:eastAsia="方正黑体_GBK" w:cs="方正黑体_GBK"/>
          <w:b w:val="0"/>
          <w:bCs w:val="0"/>
          <w:color w:val="auto"/>
          <w:spacing w:val="6"/>
          <w:sz w:val="32"/>
          <w:szCs w:val="32"/>
          <w:highlight w:val="none"/>
          <w:lang w:val="en-US" w:eastAsia="zh-CN"/>
        </w:rPr>
        <w:t xml:space="preserve">9 其他 </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无</w:t>
      </w:r>
    </w:p>
    <w:p>
      <w:pPr>
        <w:keepNext w:val="0"/>
        <w:keepLines w:val="0"/>
        <w:pageBreakBefore w:val="0"/>
        <w:widowControl w:val="0"/>
        <w:kinsoku/>
        <w:wordWrap/>
        <w:overflowPunct/>
        <w:topLinePunct w:val="0"/>
        <w:autoSpaceDE/>
        <w:autoSpaceDN/>
        <w:bidi w:val="0"/>
        <w:adjustRightInd/>
        <w:snapToGrid/>
        <w:spacing w:line="570" w:lineRule="exact"/>
        <w:ind w:firstLine="664" w:firstLineChars="200"/>
        <w:jc w:val="right"/>
        <w:textAlignment w:val="auto"/>
        <w:rPr>
          <w:rFonts w:hint="eastAsia" w:ascii="方正仿宋_GBK" w:hAnsi="方正仿宋_GBK" w:eastAsia="方正仿宋_GBK" w:cs="方正仿宋_GBK"/>
          <w:b w:val="0"/>
          <w:bCs/>
          <w:spacing w:val="6"/>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b w:val="0"/>
          <w:bCs/>
          <w:spacing w:val="6"/>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b w:val="0"/>
          <w:bCs/>
          <w:spacing w:val="6"/>
          <w:sz w:val="32"/>
          <w:szCs w:val="32"/>
          <w:highlight w:val="none"/>
          <w:lang w:val="en-US" w:eastAsia="zh-CN"/>
        </w:rPr>
      </w:pP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b w:val="0"/>
          <w:bCs/>
          <w:spacing w:val="6"/>
          <w:sz w:val="32"/>
          <w:szCs w:val="32"/>
          <w:highlight w:val="none"/>
          <w:lang w:val="en-US" w:eastAsia="zh-CN"/>
        </w:rPr>
        <w:t xml:space="preserve">                            </w:t>
      </w:r>
      <w:r>
        <w:rPr>
          <w:rFonts w:hint="eastAsia" w:ascii="方正仿宋_GBK" w:hAnsi="方正仿宋_GBK" w:eastAsia="方正仿宋_GBK" w:cs="方正仿宋_GBK"/>
          <w:color w:val="auto"/>
          <w:spacing w:val="6"/>
          <w:kern w:val="2"/>
          <w:sz w:val="32"/>
          <w:szCs w:val="32"/>
          <w:highlight w:val="none"/>
          <w:lang w:val="en-US" w:eastAsia="zh-CN" w:bidi="ar-SA"/>
        </w:rPr>
        <w:t>麦盖提县水利局</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rPr>
          <w:rFonts w:hint="eastAsia" w:ascii="方正仿宋_GBK" w:hAnsi="方正仿宋_GBK" w:eastAsia="方正仿宋_GBK" w:cs="方正仿宋_GBK"/>
          <w:color w:val="auto"/>
          <w:spacing w:val="6"/>
          <w:kern w:val="2"/>
          <w:sz w:val="32"/>
          <w:szCs w:val="32"/>
          <w:highlight w:val="none"/>
          <w:lang w:val="en-US" w:eastAsia="zh-CN" w:bidi="ar-SA"/>
        </w:rPr>
      </w:pPr>
      <w:r>
        <w:rPr>
          <w:rFonts w:hint="eastAsia" w:ascii="方正仿宋_GBK" w:hAnsi="方正仿宋_GBK" w:eastAsia="方正仿宋_GBK" w:cs="方正仿宋_GBK"/>
          <w:color w:val="auto"/>
          <w:spacing w:val="6"/>
          <w:kern w:val="2"/>
          <w:sz w:val="32"/>
          <w:szCs w:val="32"/>
          <w:highlight w:val="none"/>
          <w:lang w:val="en-US" w:eastAsia="zh-CN" w:bidi="ar-SA"/>
        </w:rPr>
        <w:t xml:space="preserve">                              2025年2月</w:t>
      </w:r>
    </w:p>
    <w:p>
      <w:pPr>
        <w:pStyle w:val="17"/>
        <w:spacing w:line="500" w:lineRule="exact"/>
        <w:ind w:firstLine="0" w:firstLineChars="0"/>
        <w:outlineLvl w:val="9"/>
        <w:rPr>
          <w:rFonts w:hint="eastAsia" w:ascii="仿宋" w:hAnsi="仿宋" w:eastAsia="仿宋" w:cs="仿宋"/>
          <w:sz w:val="32"/>
          <w:szCs w:val="32"/>
          <w:highlight w:val="none"/>
        </w:rPr>
      </w:pPr>
    </w:p>
    <w:sectPr>
      <w:pgSz w:w="11906" w:h="16838"/>
      <w:pgMar w:top="1984" w:right="1531" w:bottom="1701" w:left="1531" w:header="851" w:footer="992" w:gutter="0"/>
      <w:pgNumType w:fmt="decimal" w:start="1"/>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1" w:fontKey="{714E65FB-3C29-47F9-8066-D3BCA4683EC7}"/>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C2021A7C-BED9-4D5A-AF82-412E9921B6EE}"/>
  </w:font>
  <w:font w:name="方正仿宋_GBK">
    <w:panose1 w:val="03000509000000000000"/>
    <w:charset w:val="86"/>
    <w:family w:val="auto"/>
    <w:pitch w:val="default"/>
    <w:sig w:usb0="00000001" w:usb1="080E0000" w:usb2="00000000" w:usb3="00000000" w:csb0="00040000" w:csb1="00000000"/>
    <w:embedRegular r:id="rId3" w:fontKey="{2E94E94A-B91C-4115-8EC0-A506C9D30D9A}"/>
  </w:font>
  <w:font w:name="HYb2gj">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4" w:fontKey="{ADE15946-0C87-4ADD-BAFD-96B5F2404D4B}"/>
  </w:font>
  <w:font w:name="方正黑体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5" w:fontKey="{CA0BF5B3-417A-49E6-A2CF-C12AE2B03D0F}"/>
  </w:font>
  <w:font w:name="方正楷体_GBK">
    <w:panose1 w:val="03000509000000000000"/>
    <w:charset w:val="86"/>
    <w:family w:val="auto"/>
    <w:pitch w:val="default"/>
    <w:sig w:usb0="00000001" w:usb1="080E0000" w:usb2="00000000" w:usb3="00000000" w:csb0="00040000" w:csb1="00000000"/>
    <w:embedRegular r:id="rId6" w:fontKey="{F884E1B2-C7BA-41F4-AF28-6737050D8B7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zMjA2ZjMwNDUxMTU1OTM3NGU5YzVhOTBlZTBlM2YifQ=="/>
  </w:docVars>
  <w:rsids>
    <w:rsidRoot w:val="00DC3189"/>
    <w:rsid w:val="00036ACC"/>
    <w:rsid w:val="00096F1A"/>
    <w:rsid w:val="001C0158"/>
    <w:rsid w:val="00286DB6"/>
    <w:rsid w:val="00290EF7"/>
    <w:rsid w:val="0036566E"/>
    <w:rsid w:val="00407F2D"/>
    <w:rsid w:val="004B669C"/>
    <w:rsid w:val="00577A4A"/>
    <w:rsid w:val="0092513B"/>
    <w:rsid w:val="009D308B"/>
    <w:rsid w:val="00A0692A"/>
    <w:rsid w:val="00A06F97"/>
    <w:rsid w:val="00A21A15"/>
    <w:rsid w:val="00A400FD"/>
    <w:rsid w:val="00B24B29"/>
    <w:rsid w:val="00DC3189"/>
    <w:rsid w:val="00E165F2"/>
    <w:rsid w:val="018C5C33"/>
    <w:rsid w:val="020E7EB7"/>
    <w:rsid w:val="031E2889"/>
    <w:rsid w:val="03806A29"/>
    <w:rsid w:val="054160C5"/>
    <w:rsid w:val="058B4156"/>
    <w:rsid w:val="05A43C20"/>
    <w:rsid w:val="066F1F85"/>
    <w:rsid w:val="06E03957"/>
    <w:rsid w:val="07AB6AC4"/>
    <w:rsid w:val="080970CA"/>
    <w:rsid w:val="0A304574"/>
    <w:rsid w:val="0A53674F"/>
    <w:rsid w:val="0A5F113C"/>
    <w:rsid w:val="0AE874FA"/>
    <w:rsid w:val="0CCF28F1"/>
    <w:rsid w:val="0CD1749B"/>
    <w:rsid w:val="0D4C5A8C"/>
    <w:rsid w:val="0E0A0C02"/>
    <w:rsid w:val="0E146CA9"/>
    <w:rsid w:val="0E44172B"/>
    <w:rsid w:val="0E5B7545"/>
    <w:rsid w:val="0EAE38A9"/>
    <w:rsid w:val="0EFA7204"/>
    <w:rsid w:val="0F3407BC"/>
    <w:rsid w:val="0F4C7FFE"/>
    <w:rsid w:val="0F4D03D4"/>
    <w:rsid w:val="0F8F67A6"/>
    <w:rsid w:val="10914580"/>
    <w:rsid w:val="119B192B"/>
    <w:rsid w:val="11A976A8"/>
    <w:rsid w:val="1202325C"/>
    <w:rsid w:val="130D558A"/>
    <w:rsid w:val="13A03D4F"/>
    <w:rsid w:val="14BF2D1A"/>
    <w:rsid w:val="14E11F83"/>
    <w:rsid w:val="15107AE5"/>
    <w:rsid w:val="15E726FC"/>
    <w:rsid w:val="16871C64"/>
    <w:rsid w:val="19D9248D"/>
    <w:rsid w:val="1A584B63"/>
    <w:rsid w:val="1A5E2BA5"/>
    <w:rsid w:val="1A8D5AE6"/>
    <w:rsid w:val="1B764A72"/>
    <w:rsid w:val="1B7978C0"/>
    <w:rsid w:val="1BCA524D"/>
    <w:rsid w:val="1CA77EC2"/>
    <w:rsid w:val="1CFA1F0D"/>
    <w:rsid w:val="1D2B0C09"/>
    <w:rsid w:val="1DF12130"/>
    <w:rsid w:val="1E8B697F"/>
    <w:rsid w:val="20743577"/>
    <w:rsid w:val="213F1DD6"/>
    <w:rsid w:val="21480C9B"/>
    <w:rsid w:val="216B68E5"/>
    <w:rsid w:val="22AF5101"/>
    <w:rsid w:val="24CD4DD4"/>
    <w:rsid w:val="252D3D80"/>
    <w:rsid w:val="26026E9F"/>
    <w:rsid w:val="261A0C88"/>
    <w:rsid w:val="2652157B"/>
    <w:rsid w:val="265F51C6"/>
    <w:rsid w:val="27066C03"/>
    <w:rsid w:val="27702B51"/>
    <w:rsid w:val="27821093"/>
    <w:rsid w:val="279B1C36"/>
    <w:rsid w:val="28B14E77"/>
    <w:rsid w:val="295977AD"/>
    <w:rsid w:val="2BE55CAC"/>
    <w:rsid w:val="2BE623C5"/>
    <w:rsid w:val="2DC66C82"/>
    <w:rsid w:val="2E794E9C"/>
    <w:rsid w:val="2EA341B2"/>
    <w:rsid w:val="2FB700E6"/>
    <w:rsid w:val="308A666B"/>
    <w:rsid w:val="316A7685"/>
    <w:rsid w:val="33096C0B"/>
    <w:rsid w:val="350B7678"/>
    <w:rsid w:val="351461D9"/>
    <w:rsid w:val="35214120"/>
    <w:rsid w:val="356C4F47"/>
    <w:rsid w:val="357B1CE7"/>
    <w:rsid w:val="36441E85"/>
    <w:rsid w:val="37E071AC"/>
    <w:rsid w:val="380F3D20"/>
    <w:rsid w:val="39074AA7"/>
    <w:rsid w:val="39AE243A"/>
    <w:rsid w:val="3B3B53F5"/>
    <w:rsid w:val="3B515D01"/>
    <w:rsid w:val="3BA359D4"/>
    <w:rsid w:val="3BE55DFF"/>
    <w:rsid w:val="3C6A4C8A"/>
    <w:rsid w:val="3C8D220B"/>
    <w:rsid w:val="3CEC23BE"/>
    <w:rsid w:val="3D492C17"/>
    <w:rsid w:val="3DF26BEC"/>
    <w:rsid w:val="3F284AB5"/>
    <w:rsid w:val="3FAC311E"/>
    <w:rsid w:val="3FEC765C"/>
    <w:rsid w:val="40B06A29"/>
    <w:rsid w:val="41E66880"/>
    <w:rsid w:val="4279735B"/>
    <w:rsid w:val="44A35F17"/>
    <w:rsid w:val="45C34A6B"/>
    <w:rsid w:val="46554DCB"/>
    <w:rsid w:val="46594145"/>
    <w:rsid w:val="46F14F28"/>
    <w:rsid w:val="475E046C"/>
    <w:rsid w:val="47E27EE9"/>
    <w:rsid w:val="47E666C5"/>
    <w:rsid w:val="47F94234"/>
    <w:rsid w:val="483F1E88"/>
    <w:rsid w:val="4A3C32E7"/>
    <w:rsid w:val="4BAB3F44"/>
    <w:rsid w:val="4BD25714"/>
    <w:rsid w:val="4C2E58E4"/>
    <w:rsid w:val="4DC74B7C"/>
    <w:rsid w:val="4F5E3A72"/>
    <w:rsid w:val="50370DED"/>
    <w:rsid w:val="50C219FC"/>
    <w:rsid w:val="50C62576"/>
    <w:rsid w:val="510A703C"/>
    <w:rsid w:val="529547BE"/>
    <w:rsid w:val="52A75B22"/>
    <w:rsid w:val="549E595B"/>
    <w:rsid w:val="54D77655"/>
    <w:rsid w:val="57E911AC"/>
    <w:rsid w:val="57F427FB"/>
    <w:rsid w:val="5836680F"/>
    <w:rsid w:val="58774ABE"/>
    <w:rsid w:val="5AD5042B"/>
    <w:rsid w:val="5C1E2E07"/>
    <w:rsid w:val="5C4054F0"/>
    <w:rsid w:val="5D783ECB"/>
    <w:rsid w:val="5DA90EC2"/>
    <w:rsid w:val="5DE6288A"/>
    <w:rsid w:val="5E573AED"/>
    <w:rsid w:val="5FF27A39"/>
    <w:rsid w:val="60400411"/>
    <w:rsid w:val="61D81D7D"/>
    <w:rsid w:val="61E92FFA"/>
    <w:rsid w:val="622D0D14"/>
    <w:rsid w:val="624B1D15"/>
    <w:rsid w:val="6283706E"/>
    <w:rsid w:val="661023B3"/>
    <w:rsid w:val="674555B8"/>
    <w:rsid w:val="68357177"/>
    <w:rsid w:val="6964349C"/>
    <w:rsid w:val="6A237EFD"/>
    <w:rsid w:val="6AEB7468"/>
    <w:rsid w:val="6B885168"/>
    <w:rsid w:val="6BA35751"/>
    <w:rsid w:val="6C9A2BCD"/>
    <w:rsid w:val="6D012174"/>
    <w:rsid w:val="6E521788"/>
    <w:rsid w:val="6EF308E2"/>
    <w:rsid w:val="6F473EA5"/>
    <w:rsid w:val="6F736E94"/>
    <w:rsid w:val="6FB8461B"/>
    <w:rsid w:val="6FEC6252"/>
    <w:rsid w:val="6FF73669"/>
    <w:rsid w:val="70653E76"/>
    <w:rsid w:val="70AB3234"/>
    <w:rsid w:val="71420536"/>
    <w:rsid w:val="71E46B34"/>
    <w:rsid w:val="729A2292"/>
    <w:rsid w:val="730B114E"/>
    <w:rsid w:val="733C129F"/>
    <w:rsid w:val="737850A4"/>
    <w:rsid w:val="73B42B76"/>
    <w:rsid w:val="73FB1F3F"/>
    <w:rsid w:val="742C50BC"/>
    <w:rsid w:val="74875F1F"/>
    <w:rsid w:val="750461DC"/>
    <w:rsid w:val="753A527C"/>
    <w:rsid w:val="762C0D05"/>
    <w:rsid w:val="7645046A"/>
    <w:rsid w:val="77D03C69"/>
    <w:rsid w:val="78D10FFD"/>
    <w:rsid w:val="79293426"/>
    <w:rsid w:val="79B14945"/>
    <w:rsid w:val="7AAE4548"/>
    <w:rsid w:val="7B341C3F"/>
    <w:rsid w:val="7C3A0D5F"/>
    <w:rsid w:val="7F5F37BA"/>
    <w:rsid w:val="7FC70A09"/>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rFonts w:ascii="Times New Roman" w:hAnsi="Times New Roman" w:eastAsia="黑体" w:cs="Arial"/>
      <w:b/>
      <w:bCs/>
      <w:kern w:val="44"/>
      <w:sz w:val="28"/>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阳"/>
    <w:basedOn w:val="1"/>
    <w:qFormat/>
    <w:uiPriority w:val="99"/>
    <w:pPr>
      <w:spacing w:line="570" w:lineRule="exact"/>
      <w:ind w:firstLine="640" w:firstLineChars="200"/>
      <w:jc w:val="left"/>
    </w:pPr>
    <w:rPr>
      <w:rFonts w:ascii="仿宋" w:hAnsi="仿宋" w:eastAsia="方正仿宋_GBK"/>
      <w:spacing w:val="1"/>
    </w:rPr>
  </w:style>
  <w:style w:type="paragraph" w:styleId="6">
    <w:name w:val="annotation text"/>
    <w:basedOn w:val="1"/>
    <w:semiHidden/>
    <w:unhideWhenUsed/>
    <w:qFormat/>
    <w:uiPriority w:val="99"/>
    <w:pPr>
      <w:jc w:val="left"/>
    </w:pPr>
  </w:style>
  <w:style w:type="paragraph" w:styleId="7">
    <w:name w:val="Body Text"/>
    <w:basedOn w:val="1"/>
    <w:next w:val="1"/>
    <w:qFormat/>
    <w:uiPriority w:val="1"/>
    <w:pPr>
      <w:spacing w:before="214"/>
      <w:ind w:left="220"/>
      <w:jc w:val="left"/>
    </w:pPr>
    <w:rPr>
      <w:rFonts w:ascii="仿宋" w:hAnsi="仿宋" w:cs="仿宋"/>
      <w:szCs w:val="32"/>
      <w:lang w:val="zh-CN" w:bidi="zh-CN"/>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character" w:customStyle="1" w:styleId="16">
    <w:name w:val="标题 1 字符"/>
    <w:basedOn w:val="14"/>
    <w:link w:val="3"/>
    <w:qFormat/>
    <w:uiPriority w:val="9"/>
    <w:rPr>
      <w:rFonts w:ascii="Times New Roman" w:hAnsi="Times New Roman" w:eastAsia="黑体" w:cs="Arial"/>
      <w:b/>
      <w:bCs/>
      <w:kern w:val="44"/>
      <w:sz w:val="28"/>
      <w:szCs w:val="44"/>
    </w:rPr>
  </w:style>
  <w:style w:type="paragraph" w:customStyle="1" w:styleId="17">
    <w:name w:val="列表段落1"/>
    <w:basedOn w:val="1"/>
    <w:qFormat/>
    <w:uiPriority w:val="34"/>
    <w:pPr>
      <w:ind w:firstLine="420" w:firstLineChars="200"/>
    </w:p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paragraph" w:customStyle="1" w:styleId="22">
    <w:name w:val="Heading3"/>
    <w:basedOn w:val="1"/>
    <w:next w:val="1"/>
    <w:qFormat/>
    <w:uiPriority w:val="0"/>
    <w:pPr>
      <w:spacing w:before="100" w:beforeAutospacing="1" w:after="100" w:afterAutospacing="1" w:line="520" w:lineRule="exact"/>
      <w:jc w:val="both"/>
      <w:textAlignment w:val="baseline"/>
    </w:pPr>
    <w:rPr>
      <w:rFonts w:ascii="宋体" w:hAnsi="Times New Roman" w:eastAsia="宋体"/>
      <w:b/>
      <w:kern w:val="2"/>
      <w:sz w:val="27"/>
      <w:szCs w:val="27"/>
      <w:lang w:val="en-US" w:eastAsia="zh-CN" w:bidi="ar-SA"/>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5976</Words>
  <Characters>6425</Characters>
  <Lines>21</Lines>
  <Paragraphs>6</Paragraphs>
  <TotalTime>26</TotalTime>
  <ScaleCrop>false</ScaleCrop>
  <LinksUpToDate>false</LinksUpToDate>
  <CharactersWithSpaces>6538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2020-01-26T00:42:00Z</dcterms:created>
  <dc:creator>ThinkPad</dc:creator>
  <cp:lastModifiedBy>Administrator</cp:lastModifiedBy>
  <cp:lastPrinted>2020-02-09T09:30:00Z</cp:lastPrinted>
  <dcterms:modified xsi:type="dcterms:W3CDTF">2025-03-14T04:39:01Z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E19888FA256B43F8AC4461371B9CB168_12</vt:lpwstr>
  </property>
</Properties>
</file>