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both"/>
        <w:rPr>
          <w:rFonts w:ascii="方正小标宋简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Toc27184"/>
      <w:bookmarkStart w:id="1" w:name="_Toc2389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麦盖提县农村道路日常养护补助项目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bookmarkEnd w:id="0"/>
      <w:bookmarkEnd w:id="1"/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  <w:highlight w:val="yellow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麦盖提县农村道路日常养护补助项目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项目主管单位：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麦盖提县交通运输局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项目实施单位：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麦盖提县交通运输局</w:t>
      </w:r>
    </w:p>
    <w:p>
      <w:pPr>
        <w:spacing w:line="560" w:lineRule="exact"/>
        <w:ind w:firstLine="1280" w:firstLineChars="400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编制时间：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</w:rPr>
      </w:pPr>
    </w:p>
    <w:p>
      <w:pPr>
        <w:jc w:val="center"/>
      </w:pPr>
      <w:r>
        <w:rPr>
          <w:rFonts w:hint="eastAsia" w:ascii="宋体" w:hAnsi="宋体" w:eastAsia="宋体"/>
        </w:rPr>
        <w:t>目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录</w:t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rPr>
          <w:rFonts w:ascii="方正小标宋简体" w:eastAsia="方正小标宋简体"/>
          <w:sz w:val="22"/>
          <w:szCs w:val="22"/>
        </w:rPr>
        <w:fldChar w:fldCharType="begin"/>
      </w:r>
      <w:r>
        <w:rPr>
          <w:rFonts w:ascii="方正小标宋简体" w:eastAsia="方正小标宋简体"/>
          <w:sz w:val="22"/>
          <w:szCs w:val="22"/>
        </w:rPr>
        <w:instrText xml:space="preserve">TOC \o "1-2" \h \u </w:instrText>
      </w:r>
      <w:r>
        <w:rPr>
          <w:rFonts w:ascii="方正小标宋简体" w:eastAsia="方正小标宋简体"/>
          <w:sz w:val="22"/>
          <w:szCs w:val="22"/>
        </w:rPr>
        <w:fldChar w:fldCharType="separate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"_Toc21901"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1.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基本情况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_Toc21901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"_Toc2118"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1.1</w:t>
      </w:r>
      <w:r>
        <w:rPr>
          <w:rFonts w:hint="eastAsia" w:ascii="仿宋" w:hAnsi="仿宋" w:eastAsia="仿宋" w:cs="仿宋"/>
          <w:bCs/>
          <w:sz w:val="22"/>
          <w:szCs w:val="22"/>
        </w:rPr>
        <w:t>项目库编号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_Toc2118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"_Toc21017"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1.2</w:t>
      </w:r>
      <w:r>
        <w:rPr>
          <w:rFonts w:hint="eastAsia" w:ascii="仿宋" w:hAnsi="仿宋" w:eastAsia="仿宋" w:cs="仿宋"/>
          <w:bCs/>
          <w:sz w:val="22"/>
          <w:szCs w:val="22"/>
        </w:rPr>
        <w:t>项目名称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_Toc21017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"_Toc24089"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1.3</w:t>
      </w:r>
      <w:r>
        <w:rPr>
          <w:rFonts w:hint="eastAsia" w:ascii="仿宋" w:hAnsi="仿宋" w:eastAsia="仿宋" w:cs="仿宋"/>
          <w:bCs/>
          <w:sz w:val="22"/>
          <w:szCs w:val="22"/>
        </w:rPr>
        <w:t>项目主管单位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_Toc24089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"_Toc3934"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1.4</w:t>
      </w:r>
      <w:r>
        <w:rPr>
          <w:rFonts w:hint="eastAsia" w:ascii="仿宋" w:hAnsi="仿宋" w:eastAsia="仿宋" w:cs="仿宋"/>
          <w:bCs/>
          <w:sz w:val="22"/>
          <w:szCs w:val="22"/>
        </w:rPr>
        <w:t>项目实施单位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_Toc3934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"_Toc1709"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1.5</w:t>
      </w:r>
      <w:r>
        <w:rPr>
          <w:rFonts w:hint="eastAsia" w:ascii="仿宋" w:hAnsi="仿宋" w:eastAsia="仿宋" w:cs="仿宋"/>
          <w:bCs/>
          <w:sz w:val="22"/>
          <w:szCs w:val="22"/>
        </w:rPr>
        <w:t>项目建设性质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_Toc1709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"_Toc7832"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1.6</w:t>
      </w:r>
      <w:r>
        <w:rPr>
          <w:rFonts w:hint="eastAsia" w:ascii="仿宋" w:hAnsi="仿宋" w:eastAsia="仿宋" w:cs="仿宋"/>
          <w:bCs/>
          <w:sz w:val="22"/>
          <w:szCs w:val="22"/>
        </w:rPr>
        <w:t>项目类别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_Toc7832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rFonts w:ascii="仿宋" w:hAnsi="仿宋" w:eastAsia="仿宋" w:cs="仿宋"/>
          <w:bCs/>
          <w:sz w:val="22"/>
          <w:szCs w:val="22"/>
        </w:rPr>
      </w:pPr>
      <w:r>
        <w:rPr>
          <w:rFonts w:ascii="方正小标宋简体" w:eastAsia="方正小标宋简体"/>
          <w:sz w:val="22"/>
          <w:szCs w:val="22"/>
        </w:rPr>
        <w:fldChar w:fldCharType="begin"/>
      </w:r>
      <w:r>
        <w:rPr>
          <w:rFonts w:ascii="方正小标宋简体" w:eastAsia="方正小标宋简体"/>
          <w:sz w:val="22"/>
          <w:szCs w:val="22"/>
        </w:rPr>
        <w:instrText xml:space="preserve"> HYPERLINK \l _Toc16326 </w:instrText>
      </w:r>
      <w:r>
        <w:rPr>
          <w:rFonts w:ascii="方正小标宋简体" w:eastAsia="方正小标宋简体"/>
          <w:sz w:val="22"/>
          <w:szCs w:val="22"/>
        </w:rP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 xml:space="preserve">1.7 </w:t>
      </w:r>
      <w:r>
        <w:rPr>
          <w:rFonts w:hint="eastAsia" w:ascii="仿宋" w:hAnsi="仿宋" w:eastAsia="仿宋" w:cs="仿宋"/>
          <w:bCs/>
          <w:sz w:val="22"/>
          <w:szCs w:val="22"/>
        </w:rPr>
        <w:t>项目建设内容</w:t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rPr>
          <w:rFonts w:ascii="仿宋" w:hAnsi="仿宋" w:eastAsia="仿宋" w:cs="仿宋"/>
          <w:bCs/>
          <w:sz w:val="22"/>
          <w:szCs w:val="22"/>
        </w:rPr>
        <w:t>1.8</w:t>
      </w:r>
      <w:r>
        <w:rPr>
          <w:rFonts w:hint="eastAsia" w:ascii="仿宋" w:hAnsi="仿宋" w:eastAsia="仿宋" w:cs="仿宋"/>
          <w:bCs/>
          <w:sz w:val="22"/>
          <w:szCs w:val="22"/>
        </w:rPr>
        <w:t>项目扶持对象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_Toc16326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rFonts w:ascii="方正小标宋简体" w:eastAsia="方正小标宋简体"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"_Toc14880"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1.9</w:t>
      </w:r>
      <w:r>
        <w:rPr>
          <w:rFonts w:hint="eastAsia" w:ascii="仿宋" w:hAnsi="仿宋" w:eastAsia="仿宋" w:cs="仿宋"/>
          <w:bCs/>
          <w:sz w:val="22"/>
          <w:szCs w:val="22"/>
        </w:rPr>
        <w:t>项目补助标准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_Toc14880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"_Toc10068"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1.10</w:t>
      </w:r>
      <w:r>
        <w:rPr>
          <w:rFonts w:hint="eastAsia" w:ascii="仿宋" w:hAnsi="仿宋" w:eastAsia="仿宋" w:cs="仿宋"/>
          <w:bCs/>
          <w:sz w:val="22"/>
          <w:szCs w:val="22"/>
        </w:rPr>
        <w:t>项目建设期限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_Toc10068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"_Toc10529" </w:instrText>
      </w:r>
      <w:r>
        <w:fldChar w:fldCharType="separate"/>
      </w:r>
      <w:r>
        <w:rPr>
          <w:rFonts w:ascii="仿宋" w:hAnsi="仿宋" w:eastAsia="仿宋" w:cs="仿宋"/>
          <w:sz w:val="22"/>
          <w:szCs w:val="22"/>
        </w:rPr>
        <w:t>1.11</w:t>
      </w:r>
      <w:r>
        <w:rPr>
          <w:rFonts w:hint="eastAsia" w:ascii="仿宋" w:hAnsi="仿宋" w:eastAsia="仿宋" w:cs="仿宋"/>
          <w:sz w:val="22"/>
          <w:szCs w:val="22"/>
        </w:rPr>
        <w:t>项目建设地点及基本情况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_Toc10529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"_Toc27884"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2.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项目建设情况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_Toc27884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"_Toc5546"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2.1</w:t>
      </w:r>
      <w:r>
        <w:rPr>
          <w:rFonts w:hint="eastAsia" w:ascii="仿宋" w:hAnsi="仿宋" w:eastAsia="仿宋" w:cs="仿宋"/>
          <w:bCs/>
          <w:sz w:val="22"/>
          <w:szCs w:val="22"/>
        </w:rPr>
        <w:t>项目建设依据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_Toc5546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"_Toc4097"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2.2</w:t>
      </w:r>
      <w:r>
        <w:rPr>
          <w:rFonts w:hint="eastAsia" w:ascii="仿宋" w:hAnsi="仿宋" w:eastAsia="仿宋" w:cs="仿宋"/>
          <w:bCs/>
          <w:sz w:val="22"/>
          <w:szCs w:val="22"/>
        </w:rPr>
        <w:t>项目建设的必要性和可行性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_Toc4097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"_Toc4214"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2.3</w:t>
      </w:r>
      <w:r>
        <w:rPr>
          <w:rFonts w:hint="eastAsia" w:ascii="仿宋" w:hAnsi="仿宋" w:eastAsia="仿宋" w:cs="仿宋"/>
          <w:bCs/>
          <w:sz w:val="22"/>
          <w:szCs w:val="22"/>
        </w:rPr>
        <w:t>综合条件评价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_Toc4214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"_Toc6422"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3.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项目依据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_Toc6422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"_Toc27958"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4.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投资概算和资金筹措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_Toc27958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"_Toc25634"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4.1</w:t>
      </w:r>
      <w:r>
        <w:rPr>
          <w:rFonts w:hint="eastAsia" w:ascii="仿宋" w:hAnsi="仿宋" w:eastAsia="仿宋" w:cs="仿宋"/>
          <w:bCs/>
          <w:sz w:val="22"/>
          <w:szCs w:val="22"/>
        </w:rPr>
        <w:t>项目概算总投资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_Toc25634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"_Toc5750"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4.2</w:t>
      </w:r>
      <w:r>
        <w:rPr>
          <w:rFonts w:hint="eastAsia" w:ascii="仿宋" w:hAnsi="仿宋" w:eastAsia="仿宋" w:cs="仿宋"/>
          <w:bCs/>
          <w:sz w:val="22"/>
          <w:szCs w:val="22"/>
        </w:rPr>
        <w:t>资金筹措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_Toc5750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"_Toc2017"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4.3</w:t>
      </w:r>
      <w:r>
        <w:rPr>
          <w:rFonts w:hint="eastAsia" w:ascii="仿宋" w:hAnsi="仿宋" w:eastAsia="仿宋" w:cs="仿宋"/>
          <w:bCs/>
          <w:sz w:val="22"/>
          <w:szCs w:val="22"/>
        </w:rPr>
        <w:t>资金使用和管理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_Toc2017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7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"_Toc29014"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5.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项目实施保障措施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_Toc29014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"_Toc14090"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5.1</w:t>
      </w:r>
      <w:r>
        <w:rPr>
          <w:rFonts w:hint="eastAsia" w:ascii="仿宋" w:hAnsi="仿宋" w:eastAsia="仿宋" w:cs="仿宋"/>
          <w:bCs/>
          <w:sz w:val="22"/>
          <w:szCs w:val="22"/>
        </w:rPr>
        <w:t>组织领导机构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_Toc14090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8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"_Toc28203"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5.2</w:t>
      </w:r>
      <w:r>
        <w:rPr>
          <w:rFonts w:hint="eastAsia" w:ascii="仿宋" w:hAnsi="仿宋" w:eastAsia="仿宋" w:cs="仿宋"/>
          <w:bCs/>
          <w:sz w:val="22"/>
          <w:szCs w:val="22"/>
        </w:rPr>
        <w:t>技术保障措施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_Toc28203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8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"_Toc17600"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5.3</w:t>
      </w:r>
      <w:r>
        <w:rPr>
          <w:rFonts w:hint="eastAsia" w:ascii="仿宋" w:hAnsi="仿宋" w:eastAsia="仿宋" w:cs="仿宋"/>
          <w:bCs/>
          <w:sz w:val="22"/>
          <w:szCs w:val="22"/>
        </w:rPr>
        <w:t>项目管理、监督检查制度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_Toc17600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"_Toc19903" </w:instrText>
      </w:r>
      <w:r>
        <w:fldChar w:fldCharType="separate"/>
      </w:r>
      <w:r>
        <w:rPr>
          <w:rFonts w:ascii="仿宋" w:hAnsi="仿宋" w:eastAsia="仿宋" w:cs="仿宋"/>
          <w:sz w:val="22"/>
          <w:szCs w:val="22"/>
        </w:rPr>
        <w:t>5.4</w:t>
      </w:r>
      <w:r>
        <w:rPr>
          <w:rFonts w:hint="eastAsia" w:ascii="仿宋" w:hAnsi="仿宋" w:eastAsia="仿宋" w:cs="仿宋"/>
          <w:sz w:val="22"/>
          <w:szCs w:val="22"/>
        </w:rPr>
        <w:t>增收机制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_Toc19903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"_Toc3443"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6.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项目实施进度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_Toc3443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"_Toc13024"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6.1</w:t>
      </w:r>
      <w:r>
        <w:rPr>
          <w:rFonts w:hint="eastAsia" w:ascii="仿宋" w:hAnsi="仿宋" w:eastAsia="仿宋" w:cs="仿宋"/>
          <w:bCs/>
          <w:sz w:val="22"/>
          <w:szCs w:val="22"/>
        </w:rPr>
        <w:t>项目实施进度计划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_Toc13024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"_Toc28148"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6.2</w:t>
      </w:r>
      <w:r>
        <w:rPr>
          <w:rFonts w:hint="eastAsia" w:ascii="仿宋" w:hAnsi="仿宋" w:eastAsia="仿宋" w:cs="仿宋"/>
          <w:bCs/>
          <w:sz w:val="22"/>
          <w:szCs w:val="22"/>
        </w:rPr>
        <w:t>项目公告公示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_Toc28148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"_Toc23625"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7.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项目绩效目标及效益分析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_Toc23625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"_Toc61"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7.1</w:t>
      </w:r>
      <w:r>
        <w:rPr>
          <w:rFonts w:hint="eastAsia" w:ascii="仿宋" w:hAnsi="仿宋" w:eastAsia="仿宋" w:cs="仿宋"/>
          <w:bCs/>
          <w:sz w:val="22"/>
          <w:szCs w:val="22"/>
        </w:rPr>
        <w:t>年度目标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_Toc61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"_Toc4022"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7.2</w:t>
      </w:r>
      <w:r>
        <w:rPr>
          <w:rFonts w:hint="eastAsia" w:ascii="仿宋" w:hAnsi="仿宋" w:eastAsia="仿宋" w:cs="仿宋"/>
          <w:bCs/>
          <w:sz w:val="22"/>
          <w:szCs w:val="22"/>
        </w:rPr>
        <w:t>经济效益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_Toc4022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"_Toc22208"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7.3</w:t>
      </w:r>
      <w:r>
        <w:rPr>
          <w:rFonts w:hint="eastAsia" w:ascii="仿宋" w:hAnsi="仿宋" w:eastAsia="仿宋" w:cs="仿宋"/>
          <w:bCs/>
          <w:sz w:val="22"/>
          <w:szCs w:val="22"/>
        </w:rPr>
        <w:t>社会效益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_Toc22208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"_Toc10991"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7.4</w:t>
      </w:r>
      <w:r>
        <w:rPr>
          <w:rFonts w:hint="eastAsia" w:ascii="仿宋" w:hAnsi="仿宋" w:eastAsia="仿宋" w:cs="仿宋"/>
          <w:bCs/>
          <w:sz w:val="22"/>
          <w:szCs w:val="22"/>
        </w:rPr>
        <w:t>生态效益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_Toc10991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"_Toc21869"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7.5</w:t>
      </w:r>
      <w:r>
        <w:rPr>
          <w:rFonts w:hint="eastAsia" w:ascii="仿宋" w:hAnsi="仿宋" w:eastAsia="仿宋" w:cs="仿宋"/>
          <w:bCs/>
          <w:sz w:val="22"/>
          <w:szCs w:val="22"/>
        </w:rPr>
        <w:t>可持续性影响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_Toc21869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"_Toc14335" </w:instrText>
      </w:r>
      <w:r>
        <w:fldChar w:fldCharType="separate"/>
      </w:r>
      <w:r>
        <w:rPr>
          <w:rFonts w:ascii="楷体" w:hAnsi="楷体" w:eastAsia="楷体" w:cs="楷体"/>
          <w:b/>
          <w:bCs/>
          <w:i/>
          <w:iCs/>
          <w:sz w:val="22"/>
          <w:szCs w:val="22"/>
        </w:rPr>
        <w:t xml:space="preserve">8. </w:t>
      </w:r>
      <w:r>
        <w:rPr>
          <w:rFonts w:hint="eastAsia" w:ascii="楷体" w:hAnsi="楷体" w:eastAsia="楷体" w:cs="楷体"/>
          <w:b/>
          <w:bCs/>
          <w:i/>
          <w:iCs/>
          <w:sz w:val="22"/>
          <w:szCs w:val="22"/>
        </w:rPr>
        <w:t>后期运营措施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_Toc14335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"_Toc6936"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9.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风险分析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_Toc6936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"_Toc16423"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9.1</w:t>
      </w:r>
      <w:r>
        <w:rPr>
          <w:rFonts w:hint="eastAsia" w:ascii="仿宋" w:hAnsi="仿宋" w:eastAsia="仿宋" w:cs="仿宋"/>
          <w:bCs/>
          <w:sz w:val="22"/>
          <w:szCs w:val="22"/>
        </w:rPr>
        <w:t>主要风险因素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_Toc16423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"_Toc13031"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9.2</w:t>
      </w:r>
      <w:r>
        <w:rPr>
          <w:rFonts w:hint="eastAsia" w:ascii="仿宋" w:hAnsi="仿宋" w:eastAsia="仿宋" w:cs="仿宋"/>
          <w:bCs/>
          <w:sz w:val="22"/>
          <w:szCs w:val="22"/>
        </w:rPr>
        <w:t>防范化解措施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_Toc13031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"_Toc31885"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10.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其他（如无补充内容可不描述）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_Toc31885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rPr>
          <w:rFonts w:ascii="方正小标宋简体" w:eastAsia="方正小标宋简体"/>
          <w:b/>
          <w:sz w:val="22"/>
        </w:rPr>
      </w:pPr>
      <w:r>
        <w:rPr>
          <w:rFonts w:ascii="方正小标宋简体" w:eastAsia="方正小标宋简体"/>
          <w:sz w:val="22"/>
        </w:rPr>
        <w:fldChar w:fldCharType="end"/>
      </w:r>
      <w:bookmarkStart w:id="2" w:name="_Toc3337"/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bookmarkEnd w:id="2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atLeast"/>
        <w:jc w:val="center"/>
        <w:textAlignment w:val="auto"/>
        <w:rPr>
          <w:rFonts w:hint="eastAsia" w:eastAsia="HYb2gj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麦盖提县农村道路日常养护补助项目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bookmarkStart w:id="3" w:name="_Toc18530"/>
      <w:bookmarkStart w:id="4" w:name="_Toc21901"/>
      <w:r>
        <w:rPr>
          <w:rFonts w:ascii="楷体" w:hAnsi="楷体" w:eastAsia="楷体" w:cs="楷体"/>
          <w:b/>
          <w:bCs/>
          <w:sz w:val="28"/>
          <w:szCs w:val="28"/>
        </w:rPr>
        <w:t xml:space="preserve"> 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1.基本情况</w:t>
      </w:r>
      <w:bookmarkEnd w:id="3"/>
      <w:bookmarkEnd w:id="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5" w:name="_Toc2118"/>
      <w:bookmarkStart w:id="6" w:name="_Toc18392"/>
      <w:r>
        <w:rPr>
          <w:rFonts w:ascii="仿宋" w:hAnsi="仿宋" w:eastAsia="仿宋" w:cs="仿宋"/>
          <w:b/>
          <w:bCs/>
          <w:sz w:val="32"/>
          <w:szCs w:val="32"/>
        </w:rPr>
        <w:t xml:space="preserve">    1.1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项目库编号</w:t>
      </w:r>
      <w:bookmarkEnd w:id="5"/>
      <w:bookmarkEnd w:id="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64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" w:name="_Toc21017"/>
      <w:bookmarkStart w:id="8" w:name="_Toc7526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MGT-2025-017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64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bookmarkEnd w:id="7"/>
      <w:bookmarkEnd w:id="8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9" w:name="_Toc10134"/>
      <w:bookmarkStart w:id="10" w:name="_Toc24089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麦盖提县农村道路日常养护补助项目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1.3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项目主管单位</w:t>
      </w:r>
      <w:bookmarkEnd w:id="9"/>
      <w:bookmarkEnd w:id="1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麦盖提县交通运输局、单位主要负责人：阿不都阿克木·买买提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1" w:name="_Toc3934"/>
      <w:bookmarkStart w:id="12" w:name="_Toc5224"/>
      <w:r>
        <w:rPr>
          <w:rFonts w:ascii="仿宋" w:hAnsi="仿宋" w:eastAsia="仿宋" w:cs="仿宋"/>
          <w:b/>
          <w:bCs/>
          <w:sz w:val="32"/>
          <w:szCs w:val="32"/>
        </w:rPr>
        <w:t xml:space="preserve">    1.4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项目实施单位</w:t>
      </w:r>
      <w:bookmarkEnd w:id="11"/>
      <w:bookmarkEnd w:id="12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13" w:name="_Toc1709"/>
      <w:bookmarkStart w:id="14" w:name="_Toc2662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麦盖提县交通运输局、单位主要负责人：阿不都阿克木·买买提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项目建设性质</w:t>
      </w:r>
      <w:bookmarkEnd w:id="13"/>
      <w:bookmarkEnd w:id="1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农村公路日常养护管理。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5" w:name="_Toc10884"/>
      <w:bookmarkStart w:id="16" w:name="_Toc7832"/>
      <w:r>
        <w:rPr>
          <w:rFonts w:ascii="仿宋" w:hAnsi="仿宋" w:eastAsia="仿宋" w:cs="仿宋"/>
          <w:b/>
          <w:bCs/>
          <w:sz w:val="32"/>
          <w:szCs w:val="32"/>
        </w:rPr>
        <w:t xml:space="preserve">    1.6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项目类别</w:t>
      </w:r>
      <w:bookmarkEnd w:id="15"/>
      <w:bookmarkEnd w:id="1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就业项目。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7" w:name="_Toc18627"/>
      <w:bookmarkStart w:id="18" w:name="_Toc16326"/>
      <w:r>
        <w:rPr>
          <w:rFonts w:ascii="仿宋" w:hAnsi="仿宋" w:eastAsia="仿宋" w:cs="仿宋"/>
          <w:b/>
          <w:bCs/>
          <w:sz w:val="32"/>
          <w:szCs w:val="32"/>
        </w:rPr>
        <w:t xml:space="preserve">    1.7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项目建设内容</w:t>
      </w:r>
      <w:bookmarkEnd w:id="17"/>
      <w:bookmarkEnd w:id="18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19" w:name="_Toc9104"/>
      <w:bookmarkStart w:id="20" w:name="_Toc1488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农村道路管护人员补助项目，涉及我县8个乡，1个镇及林场境内约2380.657公里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村道路日常养管，保障农村道路的完好、安全、畅通。改善沿线26余万居民的交通出行条件和生活环境及农村道路的经济、实用性。此项目解决了全县140余个行政村722名低收入群体的家庭就业问题、巩固并提升本县乡村振兴工程事业、促进全县经济发展，提高低收入家庭的收入和生活水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562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项目扶持对象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扶持对象原则上优先从有劳动能力的脱贫不稳定户、突发严重困难户、边缘易致贫户、脱贫户中选聘，脱贫不稳定户、突发严重困难户、边缘易致贫户、脱贫户不足的可以从低收入家庭人员中选聘，护路员年龄一般应为18-60周岁，个别身体健康、劳动能力强的年龄可适当放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项目补助标准</w:t>
      </w:r>
      <w:bookmarkEnd w:id="19"/>
      <w:bookmarkEnd w:id="2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本项目资金来源为财政衔接推进乡村振兴补助资金。补助标准为每人每月1000元，年度资金总额866.4万元。其中：财政拨款：866.4万元。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1" w:name="_Toc10068"/>
      <w:bookmarkStart w:id="22" w:name="_Toc32191"/>
      <w:r>
        <w:rPr>
          <w:rFonts w:ascii="仿宋" w:hAnsi="仿宋" w:eastAsia="仿宋" w:cs="仿宋"/>
          <w:b/>
          <w:bCs/>
          <w:sz w:val="32"/>
          <w:szCs w:val="32"/>
        </w:rPr>
        <w:t xml:space="preserve">    1.10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项目建设期限</w:t>
      </w:r>
      <w:bookmarkEnd w:id="21"/>
      <w:bookmarkEnd w:id="22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23" w:name="_Toc10529"/>
      <w:bookmarkStart w:id="24" w:name="_Toc19938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建设期限为12个月，开始时间为2025年1月，结束时间为2025年12月。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项目建设地点及基本情况</w:t>
      </w:r>
      <w:bookmarkEnd w:id="23"/>
      <w:bookmarkEnd w:id="2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atLeas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25" w:name="_Toc9747"/>
      <w:bookmarkStart w:id="26" w:name="_Toc27884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道路管护人员补助项目，涉及全县8个乡1镇及五一林场、胡杨林场等140个行政村。项目分别位于巴扎结米镇、希依提墩乡、央塔克乡、吐曼塔勒乡、尕孜库勒乡、克孜勒阿瓦提乡、库木库萨尔乡、昂格特勒克乡、库尔玛乡、五一林场境内。该项目的实施，主要为全县农村公路建设、养护、管理形势需求，做到“建一条、养一条、管一条、发挥效益一条”，使农村公路更好地为农民服务，为我县经济社会发展服务，加强乡镇农村公路正常化、日常化、规范化管理。</w:t>
      </w:r>
      <w:bookmarkEnd w:id="25"/>
      <w:bookmarkEnd w:id="2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562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7" w:name="_Toc5546"/>
      <w:bookmarkStart w:id="28" w:name="_Toc21917"/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</w:t>
      </w:r>
      <w:bookmarkEnd w:id="27"/>
      <w:bookmarkEnd w:id="28"/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2.1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项目建设依据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本项目建设依据《自治区交通运输厅 财政厅 人力资源和社会保障厅 乡村振兴局关于进一步加强南疆22个原深度贫困县农村公路护路员管理的实施意见》新交发【2023】75号。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9" w:name="_Toc4097"/>
      <w:bookmarkStart w:id="30" w:name="_Toc10457"/>
      <w:r>
        <w:rPr>
          <w:rFonts w:ascii="仿宋" w:hAnsi="仿宋" w:eastAsia="仿宋" w:cs="仿宋"/>
          <w:b/>
          <w:bCs/>
          <w:sz w:val="32"/>
          <w:szCs w:val="32"/>
        </w:rPr>
        <w:t xml:space="preserve">    2.2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项目建设的必要性和可行性</w:t>
      </w:r>
      <w:bookmarkEnd w:id="29"/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近年来新疆交通事业得到了飞速发展，麦盖提县公路建设已基本覆盖辖区各个乡镇行政村。但随着公路历程逐步提高，对农村公路日常养管高度不足等问题。全县农村公路及公路附属设施，包括路基、路面、边沟、边坡、公路用地、桥梁、涵洞以及为保护、养护公路和保障公路安全通畅所设置的公路防护、排水、交通安全等设施、设备。举报超限超载运输车辆、破坏农村公路及附属设施违法行为日益突出。这严重影响了交通的安全性；公路维修耗资巨大性，只有通过养管来提高道路的经济、实用性。因此进一步深化全县农村公路管理养护体制改革，认真落实农村公路养护管理各项制度，明确农村公路养护管理职能，建立健全以县财政投入为主的、稳定的农村公路养护管理资金渠道，在全县范围内招录低收入人员（脱贫不稳定户、突发严重困难户、边缘易致贫户）提供稳定就业岗位。助力乡村振兴发展、促进经济发展，提高低收入家庭收入，提高生活水平，全面推行农村公路养护规范化、日常化，确保农村公路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该项目的建设，有效地促进了当地的经济发展和社会发展。而且间接促进了当地交通环境的改善，有效推进乡村振兴发展。项目的建设具有显著的社会效益、经济效益和生态效益。因此，该项目是可行的。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31" w:name="_Toc4214"/>
      <w:bookmarkStart w:id="32" w:name="_Toc11018"/>
      <w:r>
        <w:rPr>
          <w:rFonts w:ascii="仿宋" w:hAnsi="仿宋" w:eastAsia="仿宋" w:cs="仿宋"/>
          <w:b/>
          <w:bCs/>
          <w:sz w:val="32"/>
          <w:szCs w:val="32"/>
        </w:rPr>
        <w:t xml:space="preserve">    2.3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综合条件评价</w:t>
      </w:r>
      <w:bookmarkEnd w:id="31"/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建设：一是保障本县农村道路的完好、安全、畅通，促进并改善当地交通环境。二是全面推行农村公路养护规范化、日常化，确保农村公路持续健康发展。三是有效地促进当地的经济发展和社会发展。四是增加稳定就业岗位，有效推进并巩固提升全县脱贫攻坚就业工程事业、促进行政村经济发展，提高低收入家庭收入及生活水平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33" w:name="_Toc6422"/>
      <w:bookmarkStart w:id="34" w:name="_Toc3197"/>
      <w:r>
        <w:rPr>
          <w:rFonts w:ascii="楷体" w:hAnsi="楷体" w:eastAsia="楷体" w:cs="楷体"/>
          <w:b/>
          <w:bCs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.项目依据</w:t>
      </w:r>
      <w:bookmarkEnd w:id="33"/>
      <w:bookmarkEnd w:id="3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35" w:name="_Toc27958"/>
      <w:bookmarkStart w:id="36" w:name="_Toc1794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为巩固拓展脱贫攻坚成果同乡村振兴有效衔接，保持过渡期各项政策总体稳定，根据《自治区交通运输厅 财政厅 人力资源和社会保障厅 乡村振兴局关于进一步加强南疆22个原深度贫困县农村公路护路员管理的实施意见》新交发【2023】75号实施本项目。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投资概算和资金筹措</w:t>
      </w:r>
      <w:bookmarkEnd w:id="35"/>
      <w:bookmarkEnd w:id="36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37" w:name="_Toc3958"/>
      <w:bookmarkStart w:id="38" w:name="_Toc25634"/>
      <w:r>
        <w:rPr>
          <w:rFonts w:ascii="仿宋" w:hAnsi="仿宋" w:eastAsia="仿宋" w:cs="仿宋"/>
          <w:b/>
          <w:bCs/>
          <w:sz w:val="32"/>
          <w:szCs w:val="32"/>
        </w:rPr>
        <w:t xml:space="preserve">   4.1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项目概算总投资</w:t>
      </w:r>
      <w:bookmarkEnd w:id="37"/>
      <w:bookmarkEnd w:id="3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39" w:name="_Toc5750"/>
      <w:bookmarkStart w:id="40" w:name="_Toc10269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本项目资金866.4万元。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</w:t>
      </w:r>
      <w:r>
        <w:rPr>
          <w:rFonts w:hint="eastAsia" w:ascii="宋体" w:hAnsi="宋体"/>
          <w:b/>
          <w:sz w:val="32"/>
          <w:szCs w:val="32"/>
        </w:rPr>
        <w:t>方案投资估算结果表</w:t>
      </w:r>
    </w:p>
    <w:tbl>
      <w:tblPr>
        <w:tblStyle w:val="8"/>
        <w:tblW w:w="8190" w:type="dxa"/>
        <w:tblInd w:w="3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55"/>
        <w:gridCol w:w="1575"/>
        <w:gridCol w:w="945"/>
        <w:gridCol w:w="1260"/>
        <w:gridCol w:w="136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890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115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享受项目人数（人）</w:t>
            </w:r>
          </w:p>
        </w:tc>
        <w:tc>
          <w:tcPr>
            <w:tcW w:w="157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财政衔接推进乡村补助资金补助类型</w:t>
            </w:r>
          </w:p>
        </w:tc>
        <w:tc>
          <w:tcPr>
            <w:tcW w:w="94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补助标准</w:t>
            </w:r>
          </w:p>
        </w:tc>
        <w:tc>
          <w:tcPr>
            <w:tcW w:w="1260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估算金额（万元）</w:t>
            </w:r>
          </w:p>
        </w:tc>
        <w:tc>
          <w:tcPr>
            <w:tcW w:w="136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估算总金额（万元）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90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麦盖提县</w:t>
            </w:r>
            <w:r>
              <w:rPr>
                <w:rFonts w:ascii="方正楷体简体" w:hAnsi="方正楷体简体" w:eastAsia="方正楷体简体" w:cs="方正楷体简体"/>
                <w:sz w:val="24"/>
                <w:szCs w:val="24"/>
              </w:rPr>
              <w:t>202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年巩固拓展脱贫攻坚成果同乡村振兴有效衔接项目（农村道路日常养护补助项目）</w:t>
            </w:r>
          </w:p>
        </w:tc>
        <w:tc>
          <w:tcPr>
            <w:tcW w:w="115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722</w:t>
            </w:r>
          </w:p>
        </w:tc>
        <w:tc>
          <w:tcPr>
            <w:tcW w:w="157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工资性补助</w:t>
            </w:r>
          </w:p>
        </w:tc>
        <w:tc>
          <w:tcPr>
            <w:tcW w:w="94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 w:eastAsia="方正楷体简体"/>
                <w:sz w:val="24"/>
                <w:szCs w:val="24"/>
              </w:rPr>
              <w:t>866.4</w:t>
            </w:r>
          </w:p>
        </w:tc>
        <w:tc>
          <w:tcPr>
            <w:tcW w:w="136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 w:eastAsia="方正楷体简体"/>
                <w:sz w:val="24"/>
                <w:szCs w:val="24"/>
              </w:rPr>
              <w:t>866.4</w:t>
            </w: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资金筹措</w:t>
      </w:r>
      <w:bookmarkEnd w:id="39"/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1" w:name="_Toc14256"/>
      <w:bookmarkStart w:id="42" w:name="_Toc201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资金来源是财政衔接推进乡村振兴补助资金。财政拨款：866.4万元。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资金使用和管理</w:t>
      </w:r>
      <w:bookmarkEnd w:id="41"/>
      <w:bookmarkEnd w:id="4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3" w:name="_Toc5264"/>
      <w:bookmarkStart w:id="44" w:name="_Toc29014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4.3.1、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财政衔接推进乡村补助资金使用以乡镇为单位，原则上优先从有劳动能力的脱贫不稳定户、突发严重困难户、边缘易致贫户、脱贫户中选聘，脱贫不稳定户、突发严重困难户、边缘易致贫户、脱贫户不足的可以从低收入家庭人员中选聘，护路员年龄一般应为18-60周岁，个别身体健康、劳动能力强的年龄可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4.3.2、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每年年初，根据自治区分配的衔接资金控制数计划，作为选择项目的依据，按一定比例确定该项目，经审定后报上级县委农村工作领导小组暨乡村振兴领导小组，抄报上级有关部门。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4.3.3、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立综合的考核指标，建立健全衔接资金的检查、监督制度。有关部门要加强对衔接资金的使用和衔接项目执行情况的检查监督，努力盘活资金存量。要组织社会有关方面进行监督，把行政监督、群众监督、舆论监督结合起来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项目实施保障措施</w:t>
      </w:r>
      <w:bookmarkEnd w:id="43"/>
      <w:bookmarkEnd w:id="4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45" w:name="_Toc14090"/>
      <w:bookmarkStart w:id="46" w:name="_Toc21147"/>
      <w:r>
        <w:rPr>
          <w:rFonts w:ascii="仿宋" w:hAnsi="仿宋" w:eastAsia="仿宋" w:cs="仿宋"/>
          <w:b/>
          <w:bCs/>
          <w:sz w:val="32"/>
          <w:szCs w:val="32"/>
        </w:rPr>
        <w:t xml:space="preserve">    5.1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组织领导机构</w:t>
      </w:r>
      <w:bookmarkEnd w:id="45"/>
      <w:bookmarkEnd w:id="4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7" w:name="_Toc28203"/>
      <w:bookmarkStart w:id="48" w:name="_Toc29738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了保证项目能够顺利实施，保证质量按时完成，麦盖提县交通运输局作为项目主管单位和实施单位，成立了项目工作领导机构、领导小组成员，组长：阿不都阿克木·买买提，副组长：马玉龙、唐晓红。成员：托合提·巴克、刘云、杨丽阳、麦迪娜和各乡（镇）负责农村公路养护管理站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领导小组是负责全县农村公路养护管理工作，成立各乡（镇）农村公路养护管理机构，落实人员编制，明确所属职责；组建路管员和护路员队伍，配备必要的交通工具、设备，建立巡道和日常管理养护机制；负责文明样板路的命名；筹集和管理农村公路日常养护项目资金；监督并引导农村公路管理养护工作；明确各乡镇人民政府和村民委员会在农村公路养护管理、资金筹措、投工投劳等方面的具体工作，确定全县农村公路的具体管理养护责任人，明确责任领导，压实工作任务，进一步完善项目管理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领导小组下设办公室在县交通运输局，办公室主任由交通运输局局长阿不都阿克木·买买提同志兼任，负责全县农村公路养护管理工作，并组织对各乡（镇）工作开展进行指导、督促。确保农村道路日常养管工作的有序推进，项目资金精准使用、群众早受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副组长由副局长马玉龙兼任，建立与乡村振兴局、人社局、财政局及上级交通运输部门等有关部门工作中的信息沟通和协调，配合完成该项目各项工作。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县级落实主体责任，建立健全管养机制。人民政府履行主体责任，统筹协调相关部门抓好工作落实；交通运输局是农村公路护路员主管部门，制定护路员考勤、考核办法，指导乡镇做好日常养护工作，考核乡（镇）农村公路日常养护工作完成情况；财政局做好资金保障，按时将护路员补助资金发放到位；人力资源和社会保障局指导做好护路员培训；乡村振兴局做好人员身份核实等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乡（镇）村两级组织开展管养工作。组织实施本区域管养路段的日常养护和护路员管理。制定辖区年度日常养护计划，加强护路员教育和培训；定期组织检查、考核护路员任务完成情况；为护路员配备必要的养护作业工具、设备和安全防护用品；协助县交通主管部门开展交通综合执法。“村两委”配合乡镇选好护路员，加强本村护路员日常管理，督促开展农村公路日常养护，提高农村公路路况水平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乡（镇）村两级负责督促护路员做到专岗专用，不得安排护路员从事与农村公路管理养护无关的工作。乡（镇）村两级负责对从事养护专岗人员的管</w:t>
      </w:r>
      <w:bookmarkStart w:id="85" w:name="_GoBack"/>
      <w:bookmarkEnd w:id="85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理，审核人员身份，不得出现人员多身份就业，多角色领取养护专岗工资、死亡不报，冒领工资的问题发生，如：不得选聘转移就业、护林员、公益性岗位、死亡等人员。乡（镇）村两级履行主体责任，审核把关人员类别是否符合人员选聘要求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护路员具体从事农村公路管养工作。做好农村公路日常养护工作，及时清除路面、路肩上的堆积物和杂草杂物，保持路面干净整洁，对轻微损害的部位进行临时维修，确保道路安全畅通；定期修整路肩、边坡，保持路肩完整，边坡平顺；及时清理边沟桥涵，保持排水设施无淤塞，确保排水畅通；做好日常巡查，及时发现、劝阻、上报破坏农村公路及附属设施的行为；做好自身安全防范，严格遵守养护作业规程，确保安全无事故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5.2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技术保障措施</w:t>
      </w:r>
      <w:bookmarkEnd w:id="47"/>
      <w:bookmarkEnd w:id="4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本项目为就业增收类项目，对实施项目人员进行前期培训、指导、引导，一年进行一次统一培训指导。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49" w:name="_Toc17600"/>
      <w:bookmarkStart w:id="50" w:name="_Toc12124"/>
      <w:r>
        <w:rPr>
          <w:rFonts w:ascii="仿宋" w:hAnsi="仿宋" w:eastAsia="仿宋" w:cs="仿宋"/>
          <w:b/>
          <w:bCs/>
          <w:sz w:val="32"/>
          <w:szCs w:val="32"/>
        </w:rPr>
        <w:t>5.3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项目管理、监督检查制度</w:t>
      </w:r>
      <w:bookmarkEnd w:id="49"/>
      <w:bookmarkEnd w:id="5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在实施过程中严格按照农村公路项目养护、管理办法进行管理和监督，确保保质保量的完成工作。乡镇是项目管理的第一责任主体，全面负责财政衔接推进乡村补助资金和项目管理、绩效评价、迎接检查等各项工作，为保证按时完成该项目，实施项目管理责任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宋体" w:eastAsia="宋体"/>
          <w:sz w:val="32"/>
          <w:szCs w:val="32"/>
        </w:rPr>
      </w:pPr>
      <w:bookmarkStart w:id="51" w:name="_Toc26408"/>
      <w:bookmarkStart w:id="52" w:name="_Toc19903"/>
      <w:r>
        <w:rPr>
          <w:rFonts w:ascii="仿宋" w:hAnsi="仿宋" w:eastAsia="仿宋" w:cs="仿宋"/>
          <w:b/>
          <w:bCs/>
          <w:sz w:val="32"/>
          <w:szCs w:val="32"/>
        </w:rPr>
        <w:t xml:space="preserve">    5.4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增收机制</w:t>
      </w:r>
      <w:bookmarkEnd w:id="51"/>
      <w:bookmarkEnd w:id="5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就业项目每人每月补助标准为1000元。乡镇依据护路员养护作业考勤和完成任务情况核定工资补助金额，由县财政每月初将上月工资按时发放到护路员银行卡中，做到专款专用，不得拖欠克扣，提高家庭收入并改善生活条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53" w:name="_Toc9412"/>
      <w:bookmarkStart w:id="54" w:name="_Toc3443"/>
      <w:r>
        <w:rPr>
          <w:rFonts w:ascii="仿宋" w:hAnsi="仿宋" w:eastAsia="仿宋" w:cs="仿宋"/>
          <w:b/>
          <w:bCs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项目实施进度</w:t>
      </w:r>
      <w:bookmarkEnd w:id="53"/>
      <w:bookmarkEnd w:id="5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55" w:name="_Toc13024"/>
      <w:bookmarkStart w:id="56" w:name="_Toc10549"/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6.1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项目实施进度计划</w:t>
      </w:r>
      <w:bookmarkEnd w:id="55"/>
      <w:bookmarkEnd w:id="5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57" w:name="_Toc32301"/>
      <w:bookmarkStart w:id="58" w:name="_Toc2906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根据路网现状、经济评价结果，推荐方案内容、人员和养管规模、技术标准等，以及项目区域内地形、地质和具体的场地养管条件，本项目的就业时期安排为12个月。</w:t>
      </w:r>
    </w:p>
    <w:bookmarkEnd w:id="57"/>
    <w:bookmarkEnd w:id="5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bookmarkStart w:id="59" w:name="_Toc28148"/>
      <w:bookmarkStart w:id="60" w:name="_Toc12127"/>
      <w:r>
        <w:rPr>
          <w:rFonts w:ascii="仿宋" w:hAnsi="仿宋" w:eastAsia="仿宋" w:cs="仿宋"/>
          <w:b/>
          <w:bCs/>
          <w:sz w:val="32"/>
          <w:szCs w:val="32"/>
        </w:rPr>
        <w:t>6.2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项目公告公示</w:t>
      </w:r>
      <w:bookmarkEnd w:id="59"/>
      <w:bookmarkEnd w:id="6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本项目按文件要求在麦盖提县人民政府网站上进行公告。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本项目按文件精神，按事前、事中、事后公示公告章节内容，并明确公示公告的方式。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61" w:name="_Toc10852"/>
      <w:bookmarkStart w:id="62" w:name="_Toc23625"/>
      <w:r>
        <w:rPr>
          <w:rFonts w:ascii="仿宋" w:hAnsi="仿宋" w:eastAsia="仿宋" w:cs="仿宋"/>
          <w:b/>
          <w:bCs/>
          <w:sz w:val="32"/>
          <w:szCs w:val="32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项目绩效目标及效益分析</w:t>
      </w:r>
      <w:bookmarkEnd w:id="61"/>
      <w:bookmarkEnd w:id="6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63" w:name="_Toc28874"/>
      <w:bookmarkStart w:id="64" w:name="_Toc61"/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7.1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年度目标</w:t>
      </w:r>
      <w:bookmarkEnd w:id="63"/>
      <w:bookmarkEnd w:id="6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7.1.1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项目覆盖情况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涉及全县8个乡1镇及五一林场、胡杨林场约2380.657公里农村道路日常养管，保障农村道路完好、安全、畅通，改善沿线26余万居民出行条件和生活环境及农村道路的经济、实用性。全县140个行政村部分低收入人员解决就业问题，增加家庭收入，改善家庭生活条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65" w:name="_Toc4022"/>
      <w:bookmarkStart w:id="66" w:name="_Toc14249"/>
      <w:r>
        <w:rPr>
          <w:rFonts w:ascii="仿宋" w:hAnsi="仿宋" w:eastAsia="仿宋" w:cs="仿宋"/>
          <w:b/>
          <w:bCs/>
          <w:sz w:val="32"/>
          <w:szCs w:val="32"/>
        </w:rPr>
        <w:t>7.2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经济效益</w:t>
      </w:r>
      <w:bookmarkEnd w:id="65"/>
      <w:bookmarkEnd w:id="66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7.2.2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为提高资金的使用效益,保障道路完好、安全、畅通。明显降低农村公路养管费、改善沿线26余万居民出行条件和生活环境及农村道路的经济、实用性。改善全县部分低收入家庭生活条件和发展环境，帮助农民致富在项目实施过程中得到效益,项目建设尽可能多的提供人工劳动量。支付劳务报酬，通过就业直接增加低收入家庭年均增收1.2万元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7.2.3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间接效益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67" w:name="_Toc22208"/>
      <w:bookmarkStart w:id="68" w:name="_Toc500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项目实施完毕后，改善了居民生活环境，提高出行条件，节约出行成本，道路养管后可减轻群众劳动强度，处理供需矛盾，解决行路运输难等问题，为今后群众生产和就业致富将提供更大帮助。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社会效益</w:t>
      </w:r>
      <w:bookmarkEnd w:id="67"/>
      <w:bookmarkEnd w:id="6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69" w:name="_Toc12883"/>
      <w:bookmarkStart w:id="70" w:name="_Toc1099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的实施后对社会能起到积极作用，促进地方经济发展和社会进步。进一步提高农村公路路况，给群众通行更加便利，改善沿线约26万居民生活环境，明显减少道路安全事故率、带动就业岗位，居民收入也因此而提高，居民幸福感提高，安居守业，为社会稳定增砖添瓦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7.4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生态效益</w:t>
      </w:r>
      <w:bookmarkEnd w:id="69"/>
      <w:bookmarkEnd w:id="7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项目的实施过程中有效改善贫困地区居民交通环境。同时加快全县乡村环境整治和村容村貌整治。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1" w:name="_Toc21869"/>
      <w:bookmarkStart w:id="72" w:name="_Toc13021"/>
      <w:r>
        <w:rPr>
          <w:rFonts w:ascii="仿宋" w:hAnsi="仿宋" w:eastAsia="仿宋" w:cs="仿宋"/>
          <w:b/>
          <w:bCs/>
          <w:sz w:val="32"/>
          <w:szCs w:val="32"/>
        </w:rPr>
        <w:t xml:space="preserve">    7.5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可持续性影响</w:t>
      </w:r>
      <w:bookmarkEnd w:id="71"/>
      <w:bookmarkEnd w:id="7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保障道路完好、安全、畅通，改善沿线居民出行条件和生活环境及农村道路的经济、实用性。同时有效推行农村公路养护规范化、日常化。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bookmarkStart w:id="73" w:name="_Toc14335"/>
      <w:bookmarkStart w:id="74" w:name="_Toc32266"/>
      <w:r>
        <w:rPr>
          <w:rFonts w:ascii="楷体" w:hAnsi="楷体" w:eastAsia="楷体" w:cs="楷体"/>
          <w:b/>
          <w:bCs/>
          <w:i/>
          <w:i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、后期运营措施</w:t>
      </w:r>
      <w:bookmarkEnd w:id="73"/>
      <w:bookmarkEnd w:id="7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75" w:name="_Toc21356"/>
      <w:bookmarkStart w:id="76" w:name="_Toc1295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本项目不但在实施过程中对当地经济、群众带来直接经济利益，既是本项目实施以后，也对当地经济带来持续发展的经济影响。降低居民出行成本，提高农民经济收入。项目区群众满意度≥100%。</w:t>
      </w:r>
    </w:p>
    <w:bookmarkEnd w:id="75"/>
    <w:bookmarkEnd w:id="76"/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77" w:name="_Toc11507"/>
      <w:bookmarkStart w:id="78" w:name="_Toc6936"/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9.风险分析</w:t>
      </w:r>
      <w:bookmarkEnd w:id="77"/>
      <w:bookmarkEnd w:id="78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9" w:name="_Toc17900"/>
      <w:bookmarkStart w:id="80" w:name="_Toc16423"/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9.1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主要风险因素</w:t>
      </w:r>
      <w:bookmarkEnd w:id="79"/>
      <w:bookmarkEnd w:id="8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81" w:name="_Toc26370"/>
      <w:bookmarkStart w:id="82" w:name="_Toc13031"/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9.2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防范化解措施</w:t>
      </w:r>
      <w:bookmarkEnd w:id="81"/>
      <w:bookmarkEnd w:id="8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方正楷体简体" w:hAnsi="方正楷体简体" w:eastAsia="方正楷体简体" w:cs="方正楷体简体"/>
          <w:sz w:val="32"/>
          <w:szCs w:val="32"/>
        </w:rPr>
      </w:pPr>
      <w:bookmarkStart w:id="83" w:name="_Toc31885"/>
      <w:bookmarkStart w:id="84" w:name="_Toc27051"/>
      <w:r>
        <w:rPr>
          <w:rFonts w:ascii="方正楷体简体" w:hAnsi="方正楷体简体" w:eastAsia="方正楷体简体" w:cs="方正楷体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10.其他（如无补充内容可不描述）</w:t>
      </w:r>
      <w:bookmarkEnd w:id="83"/>
      <w:bookmarkEnd w:id="8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  <w:r>
        <w:rPr>
          <w:rFonts w:ascii="方正楷体简体" w:hAnsi="方正楷体简体" w:eastAsia="方正楷体简体" w:cs="方正楷体简体"/>
          <w:sz w:val="32"/>
          <w:szCs w:val="32"/>
        </w:rPr>
        <w:t xml:space="preserve">                  </w:t>
      </w:r>
    </w:p>
    <w:sectPr>
      <w:pgSz w:w="11906" w:h="16838"/>
      <w:pgMar w:top="1440" w:right="1797" w:bottom="1440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A37"/>
    <w:rsid w:val="000D6261"/>
    <w:rsid w:val="002912CE"/>
    <w:rsid w:val="004D194F"/>
    <w:rsid w:val="004F2958"/>
    <w:rsid w:val="00584A37"/>
    <w:rsid w:val="005E2D4A"/>
    <w:rsid w:val="0067084B"/>
    <w:rsid w:val="00891846"/>
    <w:rsid w:val="008B76B2"/>
    <w:rsid w:val="009704EF"/>
    <w:rsid w:val="009B4750"/>
    <w:rsid w:val="00A923C8"/>
    <w:rsid w:val="00C258B8"/>
    <w:rsid w:val="00E616C6"/>
    <w:rsid w:val="00EA3B05"/>
    <w:rsid w:val="00EB4916"/>
    <w:rsid w:val="01022240"/>
    <w:rsid w:val="0111646B"/>
    <w:rsid w:val="011C0FD8"/>
    <w:rsid w:val="01A20C71"/>
    <w:rsid w:val="01B07856"/>
    <w:rsid w:val="01E3151F"/>
    <w:rsid w:val="022F1DBA"/>
    <w:rsid w:val="02572C6F"/>
    <w:rsid w:val="030E4341"/>
    <w:rsid w:val="03224776"/>
    <w:rsid w:val="03DA53B7"/>
    <w:rsid w:val="047C2299"/>
    <w:rsid w:val="04D94631"/>
    <w:rsid w:val="054B4F2A"/>
    <w:rsid w:val="054F27A1"/>
    <w:rsid w:val="05631122"/>
    <w:rsid w:val="06426316"/>
    <w:rsid w:val="06B55C3A"/>
    <w:rsid w:val="0743419F"/>
    <w:rsid w:val="078533A1"/>
    <w:rsid w:val="07BC051D"/>
    <w:rsid w:val="07C37EF1"/>
    <w:rsid w:val="07D62B6D"/>
    <w:rsid w:val="08162F74"/>
    <w:rsid w:val="08C52AB6"/>
    <w:rsid w:val="08E9650E"/>
    <w:rsid w:val="08EB2A08"/>
    <w:rsid w:val="090A3677"/>
    <w:rsid w:val="093C29E0"/>
    <w:rsid w:val="0A0D6C5B"/>
    <w:rsid w:val="0A51744A"/>
    <w:rsid w:val="0A52344C"/>
    <w:rsid w:val="0A82300F"/>
    <w:rsid w:val="0AAD2660"/>
    <w:rsid w:val="0B1408A2"/>
    <w:rsid w:val="0B441696"/>
    <w:rsid w:val="0BA008E6"/>
    <w:rsid w:val="0BE9133F"/>
    <w:rsid w:val="0C241FE7"/>
    <w:rsid w:val="0C342A99"/>
    <w:rsid w:val="0C372A6E"/>
    <w:rsid w:val="0C952421"/>
    <w:rsid w:val="0D02089B"/>
    <w:rsid w:val="0D543CC3"/>
    <w:rsid w:val="0D6508CB"/>
    <w:rsid w:val="0D81070C"/>
    <w:rsid w:val="0D837A24"/>
    <w:rsid w:val="0D945383"/>
    <w:rsid w:val="0DC61BCE"/>
    <w:rsid w:val="0E542434"/>
    <w:rsid w:val="0E6504DE"/>
    <w:rsid w:val="0FF94A33"/>
    <w:rsid w:val="0FFC6674"/>
    <w:rsid w:val="10005685"/>
    <w:rsid w:val="100415FB"/>
    <w:rsid w:val="101F66A4"/>
    <w:rsid w:val="110549A1"/>
    <w:rsid w:val="111A2E5D"/>
    <w:rsid w:val="11AA7EAE"/>
    <w:rsid w:val="11BE39F8"/>
    <w:rsid w:val="11D00059"/>
    <w:rsid w:val="1244014A"/>
    <w:rsid w:val="127E53D9"/>
    <w:rsid w:val="12806AAC"/>
    <w:rsid w:val="12D265CA"/>
    <w:rsid w:val="12E64FF5"/>
    <w:rsid w:val="13051D8A"/>
    <w:rsid w:val="13075E10"/>
    <w:rsid w:val="135317DC"/>
    <w:rsid w:val="1415760D"/>
    <w:rsid w:val="14BF78E4"/>
    <w:rsid w:val="161531B8"/>
    <w:rsid w:val="16A722FD"/>
    <w:rsid w:val="16CF67BC"/>
    <w:rsid w:val="178A63B2"/>
    <w:rsid w:val="17D21642"/>
    <w:rsid w:val="185E3CB7"/>
    <w:rsid w:val="186C66B4"/>
    <w:rsid w:val="18E7030B"/>
    <w:rsid w:val="190F306C"/>
    <w:rsid w:val="19A20CA3"/>
    <w:rsid w:val="1A552EB8"/>
    <w:rsid w:val="1A693C13"/>
    <w:rsid w:val="1AD14F3C"/>
    <w:rsid w:val="1ADD32A3"/>
    <w:rsid w:val="1B1129D7"/>
    <w:rsid w:val="1B2C0492"/>
    <w:rsid w:val="1BAC0D7A"/>
    <w:rsid w:val="1BD76C59"/>
    <w:rsid w:val="1C3E02D5"/>
    <w:rsid w:val="1CA06C45"/>
    <w:rsid w:val="1D025643"/>
    <w:rsid w:val="1D434793"/>
    <w:rsid w:val="1DE06541"/>
    <w:rsid w:val="1DF17831"/>
    <w:rsid w:val="1E9F4832"/>
    <w:rsid w:val="1EDA45DA"/>
    <w:rsid w:val="1EEA3CF1"/>
    <w:rsid w:val="1EFF313A"/>
    <w:rsid w:val="1F661234"/>
    <w:rsid w:val="1F9F5794"/>
    <w:rsid w:val="1FAD7416"/>
    <w:rsid w:val="20B829B4"/>
    <w:rsid w:val="20F24B68"/>
    <w:rsid w:val="211B4082"/>
    <w:rsid w:val="21282AEC"/>
    <w:rsid w:val="212F5447"/>
    <w:rsid w:val="216E4431"/>
    <w:rsid w:val="21E61F6F"/>
    <w:rsid w:val="22F10F13"/>
    <w:rsid w:val="23476D5B"/>
    <w:rsid w:val="23C2410B"/>
    <w:rsid w:val="242C1FBF"/>
    <w:rsid w:val="24767D36"/>
    <w:rsid w:val="248D1DA2"/>
    <w:rsid w:val="24FE6583"/>
    <w:rsid w:val="25184248"/>
    <w:rsid w:val="252933FC"/>
    <w:rsid w:val="25515B67"/>
    <w:rsid w:val="25645E0E"/>
    <w:rsid w:val="2570797D"/>
    <w:rsid w:val="25A554AE"/>
    <w:rsid w:val="25C435AD"/>
    <w:rsid w:val="25C51C4A"/>
    <w:rsid w:val="25D56BC7"/>
    <w:rsid w:val="2607295E"/>
    <w:rsid w:val="260F5527"/>
    <w:rsid w:val="261653A6"/>
    <w:rsid w:val="269E2DE7"/>
    <w:rsid w:val="271E6472"/>
    <w:rsid w:val="280B2F26"/>
    <w:rsid w:val="28736E42"/>
    <w:rsid w:val="289220F8"/>
    <w:rsid w:val="292F1BBA"/>
    <w:rsid w:val="293145E8"/>
    <w:rsid w:val="29476BC7"/>
    <w:rsid w:val="298A1249"/>
    <w:rsid w:val="298A3849"/>
    <w:rsid w:val="29AC1753"/>
    <w:rsid w:val="2A412BAB"/>
    <w:rsid w:val="2A8925EC"/>
    <w:rsid w:val="2BB41B02"/>
    <w:rsid w:val="2BF13B6B"/>
    <w:rsid w:val="2BFD2A41"/>
    <w:rsid w:val="2C5E20B4"/>
    <w:rsid w:val="2CC409C5"/>
    <w:rsid w:val="2D404EF2"/>
    <w:rsid w:val="2DA721C3"/>
    <w:rsid w:val="2E102647"/>
    <w:rsid w:val="2E743FEF"/>
    <w:rsid w:val="2E9948B1"/>
    <w:rsid w:val="2F1E3A95"/>
    <w:rsid w:val="2F4E2283"/>
    <w:rsid w:val="3018020F"/>
    <w:rsid w:val="304B46ED"/>
    <w:rsid w:val="30B16940"/>
    <w:rsid w:val="30BF61CC"/>
    <w:rsid w:val="30F77CD3"/>
    <w:rsid w:val="311A37AE"/>
    <w:rsid w:val="31637E35"/>
    <w:rsid w:val="31915412"/>
    <w:rsid w:val="31A97555"/>
    <w:rsid w:val="32A47EE0"/>
    <w:rsid w:val="32CB3B8A"/>
    <w:rsid w:val="335F67EA"/>
    <w:rsid w:val="33DA526F"/>
    <w:rsid w:val="341F2161"/>
    <w:rsid w:val="345C77D1"/>
    <w:rsid w:val="348F3056"/>
    <w:rsid w:val="34F30714"/>
    <w:rsid w:val="34F95D1F"/>
    <w:rsid w:val="352B000B"/>
    <w:rsid w:val="35F9059E"/>
    <w:rsid w:val="36254BDD"/>
    <w:rsid w:val="363F25AC"/>
    <w:rsid w:val="36544699"/>
    <w:rsid w:val="36650B83"/>
    <w:rsid w:val="36A84440"/>
    <w:rsid w:val="36D910D5"/>
    <w:rsid w:val="37372EEF"/>
    <w:rsid w:val="37D930AF"/>
    <w:rsid w:val="38274C32"/>
    <w:rsid w:val="38585FBB"/>
    <w:rsid w:val="38724E88"/>
    <w:rsid w:val="38C947E1"/>
    <w:rsid w:val="39355F1E"/>
    <w:rsid w:val="3A4C47F0"/>
    <w:rsid w:val="3A8639FF"/>
    <w:rsid w:val="3AE36A50"/>
    <w:rsid w:val="3AF85F32"/>
    <w:rsid w:val="3B2652DC"/>
    <w:rsid w:val="3B822902"/>
    <w:rsid w:val="3BCF3A53"/>
    <w:rsid w:val="3BDA6529"/>
    <w:rsid w:val="3BE41374"/>
    <w:rsid w:val="3C05270C"/>
    <w:rsid w:val="3C2863DE"/>
    <w:rsid w:val="3C7C28A1"/>
    <w:rsid w:val="3C9F72A0"/>
    <w:rsid w:val="3D8E4049"/>
    <w:rsid w:val="3DCF5874"/>
    <w:rsid w:val="3DFE1719"/>
    <w:rsid w:val="3E9E1D68"/>
    <w:rsid w:val="3EFD125F"/>
    <w:rsid w:val="3F1B4451"/>
    <w:rsid w:val="3F222B40"/>
    <w:rsid w:val="3F3C41D2"/>
    <w:rsid w:val="3F6D0E14"/>
    <w:rsid w:val="3FED4C83"/>
    <w:rsid w:val="407771C2"/>
    <w:rsid w:val="40D45E0C"/>
    <w:rsid w:val="40DD55C6"/>
    <w:rsid w:val="412648D3"/>
    <w:rsid w:val="41F83F36"/>
    <w:rsid w:val="425E41EA"/>
    <w:rsid w:val="430E28BA"/>
    <w:rsid w:val="433A6536"/>
    <w:rsid w:val="436D0275"/>
    <w:rsid w:val="441065CF"/>
    <w:rsid w:val="44122799"/>
    <w:rsid w:val="459B4A9C"/>
    <w:rsid w:val="465F221A"/>
    <w:rsid w:val="467A347B"/>
    <w:rsid w:val="469B1657"/>
    <w:rsid w:val="46A142F6"/>
    <w:rsid w:val="46D675F1"/>
    <w:rsid w:val="46E012A0"/>
    <w:rsid w:val="46FD1A8E"/>
    <w:rsid w:val="47C67BDB"/>
    <w:rsid w:val="484B6704"/>
    <w:rsid w:val="491B502C"/>
    <w:rsid w:val="49B81482"/>
    <w:rsid w:val="4A1308CE"/>
    <w:rsid w:val="4A911FA2"/>
    <w:rsid w:val="4A9E678C"/>
    <w:rsid w:val="4AC47596"/>
    <w:rsid w:val="4ADC0129"/>
    <w:rsid w:val="4AF667D1"/>
    <w:rsid w:val="4B354996"/>
    <w:rsid w:val="4B463A05"/>
    <w:rsid w:val="4B7F3F5C"/>
    <w:rsid w:val="4B9163D7"/>
    <w:rsid w:val="4BBA26FD"/>
    <w:rsid w:val="4C0A6524"/>
    <w:rsid w:val="4C4140B9"/>
    <w:rsid w:val="4C4762B1"/>
    <w:rsid w:val="4CD76FF8"/>
    <w:rsid w:val="4CDE0F9C"/>
    <w:rsid w:val="4CEB12FA"/>
    <w:rsid w:val="4CF9238D"/>
    <w:rsid w:val="4D4E4CD7"/>
    <w:rsid w:val="4D834BAF"/>
    <w:rsid w:val="4D9C08DB"/>
    <w:rsid w:val="4E4A6EC0"/>
    <w:rsid w:val="4EBA4F1D"/>
    <w:rsid w:val="4EDD6215"/>
    <w:rsid w:val="4F2F5063"/>
    <w:rsid w:val="4F5843DA"/>
    <w:rsid w:val="4FD97565"/>
    <w:rsid w:val="4FE1688F"/>
    <w:rsid w:val="50394D56"/>
    <w:rsid w:val="50497242"/>
    <w:rsid w:val="509A61BC"/>
    <w:rsid w:val="517B3ADB"/>
    <w:rsid w:val="519D1981"/>
    <w:rsid w:val="5202095D"/>
    <w:rsid w:val="5239016D"/>
    <w:rsid w:val="525B5FCF"/>
    <w:rsid w:val="527849BA"/>
    <w:rsid w:val="52C52739"/>
    <w:rsid w:val="531A7EB6"/>
    <w:rsid w:val="534E3CB0"/>
    <w:rsid w:val="545F7524"/>
    <w:rsid w:val="54C93108"/>
    <w:rsid w:val="55825B23"/>
    <w:rsid w:val="55D44835"/>
    <w:rsid w:val="56915DA7"/>
    <w:rsid w:val="56FD6EAD"/>
    <w:rsid w:val="570B4AFC"/>
    <w:rsid w:val="57361457"/>
    <w:rsid w:val="574825D6"/>
    <w:rsid w:val="57DE7F2B"/>
    <w:rsid w:val="58566C42"/>
    <w:rsid w:val="593446DC"/>
    <w:rsid w:val="596432AD"/>
    <w:rsid w:val="598002DE"/>
    <w:rsid w:val="59AE22B7"/>
    <w:rsid w:val="5A743527"/>
    <w:rsid w:val="5A834310"/>
    <w:rsid w:val="5B175921"/>
    <w:rsid w:val="5B6F60A3"/>
    <w:rsid w:val="5BF90A8A"/>
    <w:rsid w:val="5C013458"/>
    <w:rsid w:val="5C1D674B"/>
    <w:rsid w:val="5C24709A"/>
    <w:rsid w:val="5C3B1E37"/>
    <w:rsid w:val="5C3C66B7"/>
    <w:rsid w:val="5C6716A6"/>
    <w:rsid w:val="5CB65791"/>
    <w:rsid w:val="5CBE10E3"/>
    <w:rsid w:val="5DD40CA1"/>
    <w:rsid w:val="5E2363D9"/>
    <w:rsid w:val="5F4C371C"/>
    <w:rsid w:val="5F8A2717"/>
    <w:rsid w:val="5FDF591D"/>
    <w:rsid w:val="608B0A38"/>
    <w:rsid w:val="60906168"/>
    <w:rsid w:val="60E55C03"/>
    <w:rsid w:val="613B2891"/>
    <w:rsid w:val="615E2953"/>
    <w:rsid w:val="61617FCA"/>
    <w:rsid w:val="61750D93"/>
    <w:rsid w:val="628543AB"/>
    <w:rsid w:val="62A60D8B"/>
    <w:rsid w:val="62E6387C"/>
    <w:rsid w:val="631C6D48"/>
    <w:rsid w:val="63A672FB"/>
    <w:rsid w:val="63A766DF"/>
    <w:rsid w:val="63DC1B71"/>
    <w:rsid w:val="64164352"/>
    <w:rsid w:val="65A7337E"/>
    <w:rsid w:val="65CE1234"/>
    <w:rsid w:val="65D10E78"/>
    <w:rsid w:val="66A64449"/>
    <w:rsid w:val="66E375F9"/>
    <w:rsid w:val="67215D42"/>
    <w:rsid w:val="67F3233D"/>
    <w:rsid w:val="681F6B3B"/>
    <w:rsid w:val="689D5FDD"/>
    <w:rsid w:val="68A400E3"/>
    <w:rsid w:val="68E8112A"/>
    <w:rsid w:val="692826A5"/>
    <w:rsid w:val="69E74153"/>
    <w:rsid w:val="6A1443EA"/>
    <w:rsid w:val="6A177753"/>
    <w:rsid w:val="6A426BA6"/>
    <w:rsid w:val="6AB02E6F"/>
    <w:rsid w:val="6B6E3CA2"/>
    <w:rsid w:val="6BCC2D37"/>
    <w:rsid w:val="6BD559BC"/>
    <w:rsid w:val="6BD63719"/>
    <w:rsid w:val="6C2B0FB4"/>
    <w:rsid w:val="6C5F599D"/>
    <w:rsid w:val="6D32280A"/>
    <w:rsid w:val="6F1D4D07"/>
    <w:rsid w:val="6F4A687D"/>
    <w:rsid w:val="6F9F4725"/>
    <w:rsid w:val="701F5857"/>
    <w:rsid w:val="703A3B0C"/>
    <w:rsid w:val="703C6C8D"/>
    <w:rsid w:val="708755BA"/>
    <w:rsid w:val="70AF078F"/>
    <w:rsid w:val="70CC311A"/>
    <w:rsid w:val="711C7511"/>
    <w:rsid w:val="713B1907"/>
    <w:rsid w:val="71E3775B"/>
    <w:rsid w:val="71EB21B5"/>
    <w:rsid w:val="721706CF"/>
    <w:rsid w:val="72400906"/>
    <w:rsid w:val="72427632"/>
    <w:rsid w:val="726817BD"/>
    <w:rsid w:val="72B904B9"/>
    <w:rsid w:val="72CE34A1"/>
    <w:rsid w:val="73417A01"/>
    <w:rsid w:val="74EC46A0"/>
    <w:rsid w:val="75222CCB"/>
    <w:rsid w:val="75DA27A8"/>
    <w:rsid w:val="7615694D"/>
    <w:rsid w:val="76337804"/>
    <w:rsid w:val="7666438E"/>
    <w:rsid w:val="76C61231"/>
    <w:rsid w:val="77111D26"/>
    <w:rsid w:val="771F75C0"/>
    <w:rsid w:val="77265BCF"/>
    <w:rsid w:val="77874DE9"/>
    <w:rsid w:val="77D4454A"/>
    <w:rsid w:val="77E160EF"/>
    <w:rsid w:val="78C61A4A"/>
    <w:rsid w:val="79165A33"/>
    <w:rsid w:val="79760C1C"/>
    <w:rsid w:val="7A391A2F"/>
    <w:rsid w:val="7A552347"/>
    <w:rsid w:val="7A686349"/>
    <w:rsid w:val="7A8B4DD3"/>
    <w:rsid w:val="7A9D1C38"/>
    <w:rsid w:val="7AC332A0"/>
    <w:rsid w:val="7ACE4F60"/>
    <w:rsid w:val="7B4F4D85"/>
    <w:rsid w:val="7BA35FFF"/>
    <w:rsid w:val="7BC234A9"/>
    <w:rsid w:val="7BCF28C6"/>
    <w:rsid w:val="7C7E7DAC"/>
    <w:rsid w:val="7C8A6F0B"/>
    <w:rsid w:val="7CBF48B4"/>
    <w:rsid w:val="7DF21D2A"/>
    <w:rsid w:val="7E914959"/>
    <w:rsid w:val="7ECF310B"/>
    <w:rsid w:val="7ED5377D"/>
    <w:rsid w:val="7E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Arial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99"/>
    <w:pPr>
      <w:jc w:val="left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3"/>
    <w:qFormat/>
    <w:locked/>
    <w:uiPriority w:val="99"/>
    <w:rPr>
      <w:rFonts w:ascii="Times New Roman" w:hAnsi="Times New Roman" w:eastAsia="黑体" w:cs="Arial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9"/>
    <w:link w:val="2"/>
    <w:semiHidden/>
    <w:qFormat/>
    <w:locked/>
    <w:uiPriority w:val="99"/>
    <w:rPr>
      <w:rFonts w:ascii="等线" w:hAnsi="等线" w:eastAsia="等线" w:cs="黑体"/>
      <w:b/>
      <w:bCs/>
      <w:sz w:val="32"/>
      <w:szCs w:val="32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Comment Text Char"/>
    <w:basedOn w:val="9"/>
    <w:link w:val="5"/>
    <w:semiHidden/>
    <w:qFormat/>
    <w:locked/>
    <w:uiPriority w:val="99"/>
    <w:rPr>
      <w:rFonts w:ascii="等线" w:hAnsi="等线" w:eastAsia="等线" w:cs="黑体"/>
    </w:rPr>
  </w:style>
  <w:style w:type="character" w:customStyle="1" w:styleId="15">
    <w:name w:val="Foot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表段落1"/>
    <w:basedOn w:val="1"/>
    <w:qFormat/>
    <w:uiPriority w:val="99"/>
    <w:pPr>
      <w:ind w:firstLine="420" w:firstLineChars="200"/>
    </w:pPr>
  </w:style>
  <w:style w:type="paragraph" w:customStyle="1" w:styleId="18">
    <w:name w:val="WPSOffice手动目录 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9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1138</Words>
  <Characters>6487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2022-01-27T13:46:00Z</dcterms:created>
  <dc:creator>ThinkPad</dc:creator>
  <cp:lastModifiedBy>Administrator</cp:lastModifiedBy>
  <cp:lastPrinted>2024-03-17T12:05:00Z</cp:lastPrinted>
  <dcterms:modified xsi:type="dcterms:W3CDTF">2025-02-17T04:05:15Z</dcterms:modified>
  <dc:title>XX县（市、区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6D6A8A77E8BF4E24AAB00FB788DD83BD</vt:lpwstr>
  </property>
</Properties>
</file>