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highlight w:val="none"/>
        </w:rPr>
      </w:pPr>
    </w:p>
    <w:p>
      <w:pPr>
        <w:keepNext w:val="0"/>
        <w:keepLines w:val="0"/>
        <w:pageBreakBefore w:val="0"/>
        <w:widowControl w:val="0"/>
        <w:kinsoku/>
        <w:wordWrap/>
        <w:overflowPunct/>
        <w:topLinePunct w:val="0"/>
        <w:bidi w:val="0"/>
        <w:snapToGrid/>
        <w:jc w:val="center"/>
        <w:textAlignment w:val="auto"/>
        <w:outlineLvl w:val="9"/>
        <w:rPr>
          <w:rFonts w:ascii="方正小标宋简体" w:eastAsia="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麦盖提县202</w:t>
      </w:r>
      <w:r>
        <w:rPr>
          <w:rFonts w:hint="eastAsia" w:ascii="方正小标宋_GBK" w:hAnsi="方正小标宋_GBK" w:eastAsia="方正小标宋_GBK" w:cs="方正小标宋_GBK"/>
          <w:b w:val="0"/>
          <w:bCs w:val="0"/>
          <w:color w:val="auto"/>
          <w:sz w:val="44"/>
          <w:szCs w:val="44"/>
          <w:highlight w:val="none"/>
          <w:lang w:val="en-US" w:eastAsia="zh-CN"/>
        </w:rPr>
        <w:t>4</w:t>
      </w:r>
      <w:r>
        <w:rPr>
          <w:rFonts w:hint="eastAsia" w:ascii="方正小标宋_GBK" w:hAnsi="方正小标宋_GBK" w:eastAsia="方正小标宋_GBK" w:cs="方正小标宋_GBK"/>
          <w:b w:val="0"/>
          <w:bCs w:val="0"/>
          <w:color w:val="auto"/>
          <w:sz w:val="44"/>
          <w:szCs w:val="44"/>
          <w:highlight w:val="none"/>
        </w:rPr>
        <w:t>年巩固拓展脱贫攻坚成果同乡村振兴有效衔接项目实施方案</w:t>
      </w:r>
    </w:p>
    <w:p>
      <w:pPr>
        <w:keepNext w:val="0"/>
        <w:keepLines w:val="0"/>
        <w:pageBreakBefore w:val="0"/>
        <w:widowControl w:val="0"/>
        <w:kinsoku/>
        <w:wordWrap/>
        <w:overflowPunct/>
        <w:topLinePunct w:val="0"/>
        <w:bidi w:val="0"/>
        <w:snapToGrid/>
        <w:textAlignment w:val="auto"/>
        <w:outlineLvl w:val="9"/>
        <w:rPr>
          <w:rFonts w:ascii="方正小标宋简体" w:eastAsia="方正小标宋简体"/>
          <w:sz w:val="44"/>
          <w:szCs w:val="44"/>
          <w:highlight w:val="none"/>
        </w:rPr>
      </w:pPr>
    </w:p>
    <w:p>
      <w:pPr>
        <w:keepNext w:val="0"/>
        <w:keepLines w:val="0"/>
        <w:pageBreakBefore w:val="0"/>
        <w:widowControl w:val="0"/>
        <w:kinsoku/>
        <w:wordWrap/>
        <w:overflowPunct/>
        <w:topLinePunct w:val="0"/>
        <w:bidi w:val="0"/>
        <w:snapToGrid/>
        <w:textAlignment w:val="auto"/>
        <w:outlineLvl w:val="9"/>
        <w:rPr>
          <w:rFonts w:ascii="方正小标宋简体" w:eastAsia="方正小标宋简体"/>
          <w:sz w:val="44"/>
          <w:szCs w:val="44"/>
          <w:highlight w:val="none"/>
        </w:rPr>
      </w:pPr>
    </w:p>
    <w:p>
      <w:pPr>
        <w:keepNext w:val="0"/>
        <w:keepLines w:val="0"/>
        <w:pageBreakBefore w:val="0"/>
        <w:widowControl w:val="0"/>
        <w:kinsoku/>
        <w:wordWrap/>
        <w:overflowPunct/>
        <w:topLinePunct w:val="0"/>
        <w:bidi w:val="0"/>
        <w:snapToGrid/>
        <w:textAlignment w:val="auto"/>
        <w:outlineLvl w:val="9"/>
        <w:rPr>
          <w:rFonts w:ascii="方正小标宋简体" w:eastAsia="方正小标宋简体"/>
          <w:sz w:val="44"/>
          <w:szCs w:val="44"/>
          <w:highlight w:val="none"/>
        </w:rPr>
      </w:pPr>
    </w:p>
    <w:p>
      <w:pPr>
        <w:keepNext w:val="0"/>
        <w:keepLines w:val="0"/>
        <w:pageBreakBefore w:val="0"/>
        <w:widowControl w:val="0"/>
        <w:kinsoku/>
        <w:wordWrap/>
        <w:overflowPunct/>
        <w:topLinePunct w:val="0"/>
        <w:bidi w:val="0"/>
        <w:snapToGrid/>
        <w:textAlignment w:val="auto"/>
        <w:outlineLvl w:val="9"/>
        <w:rPr>
          <w:rFonts w:ascii="方正小标宋简体" w:eastAsia="方正小标宋简体"/>
          <w:i w:val="0"/>
          <w:iCs w:val="0"/>
          <w:sz w:val="44"/>
          <w:szCs w:val="44"/>
          <w:highlight w:val="none"/>
        </w:rPr>
      </w:pPr>
    </w:p>
    <w:p>
      <w:pPr>
        <w:pStyle w:val="15"/>
        <w:keepNext w:val="0"/>
        <w:keepLines w:val="0"/>
        <w:pageBreakBefore w:val="0"/>
        <w:widowControl w:val="0"/>
        <w:kinsoku/>
        <w:wordWrap/>
        <w:overflowPunct/>
        <w:topLinePunct w:val="0"/>
        <w:bidi w:val="0"/>
        <w:snapToGrid/>
        <w:textAlignment w:val="auto"/>
        <w:outlineLvl w:val="9"/>
        <w:rPr>
          <w:rFonts w:ascii="方正小标宋简体" w:eastAsia="方正小标宋简体"/>
          <w:sz w:val="44"/>
          <w:szCs w:val="44"/>
          <w:highlight w:val="none"/>
        </w:rPr>
      </w:pPr>
    </w:p>
    <w:p>
      <w:pPr>
        <w:pStyle w:val="15"/>
        <w:keepNext w:val="0"/>
        <w:keepLines w:val="0"/>
        <w:pageBreakBefore w:val="0"/>
        <w:widowControl w:val="0"/>
        <w:kinsoku/>
        <w:wordWrap/>
        <w:overflowPunct/>
        <w:topLinePunct w:val="0"/>
        <w:bidi w:val="0"/>
        <w:snapToGrid/>
        <w:textAlignment w:val="auto"/>
        <w:outlineLvl w:val="9"/>
        <w:rPr>
          <w:rFonts w:ascii="方正小标宋简体" w:eastAsia="方正小标宋简体"/>
          <w:sz w:val="44"/>
          <w:szCs w:val="44"/>
          <w:highlight w:val="none"/>
        </w:rPr>
      </w:pPr>
    </w:p>
    <w:p>
      <w:pPr>
        <w:keepNext w:val="0"/>
        <w:keepLines w:val="0"/>
        <w:pageBreakBefore w:val="0"/>
        <w:widowControl w:val="0"/>
        <w:kinsoku/>
        <w:wordWrap/>
        <w:overflowPunct/>
        <w:topLinePunct w:val="0"/>
        <w:bidi w:val="0"/>
        <w:snapToGrid/>
        <w:textAlignment w:val="auto"/>
        <w:outlineLvl w:val="9"/>
        <w:rPr>
          <w:rFonts w:ascii="方正小标宋简体" w:eastAsia="方正小标宋简体"/>
          <w:sz w:val="44"/>
          <w:szCs w:val="44"/>
          <w:highlight w:val="none"/>
        </w:rPr>
      </w:pPr>
    </w:p>
    <w:p>
      <w:pPr>
        <w:pStyle w:val="2"/>
        <w:rPr>
          <w:rFonts w:ascii="方正小标宋简体" w:eastAsia="方正小标宋简体"/>
          <w:sz w:val="44"/>
          <w:szCs w:val="44"/>
          <w:highlight w:val="none"/>
        </w:rPr>
      </w:pPr>
    </w:p>
    <w:p>
      <w:pPr>
        <w:pStyle w:val="2"/>
        <w:rPr>
          <w:rFonts w:ascii="方正小标宋简体" w:eastAsia="方正小标宋简体"/>
          <w:sz w:val="44"/>
          <w:szCs w:val="44"/>
          <w:highlight w:val="none"/>
        </w:rPr>
      </w:pPr>
    </w:p>
    <w:p>
      <w:pPr>
        <w:pStyle w:val="2"/>
        <w:rPr>
          <w:rFonts w:ascii="方正小标宋简体" w:eastAsia="方正小标宋简体"/>
          <w:sz w:val="44"/>
          <w:szCs w:val="44"/>
          <w:highlight w:val="none"/>
        </w:rPr>
      </w:pPr>
    </w:p>
    <w:p>
      <w:pPr>
        <w:pStyle w:val="2"/>
        <w:ind w:left="0" w:leftChars="0" w:firstLine="0" w:firstLineChars="0"/>
        <w:rPr>
          <w:rFonts w:ascii="方正小标宋简体" w:eastAsia="方正小标宋简体"/>
          <w:sz w:val="44"/>
          <w:szCs w:val="44"/>
          <w:highlight w:val="none"/>
        </w:rPr>
      </w:pPr>
    </w:p>
    <w:p>
      <w:pPr>
        <w:keepNext w:val="0"/>
        <w:keepLines w:val="0"/>
        <w:pageBreakBefore w:val="0"/>
        <w:widowControl w:val="0"/>
        <w:kinsoku/>
        <w:wordWrap/>
        <w:overflowPunct/>
        <w:topLinePunct w:val="0"/>
        <w:bidi w:val="0"/>
        <w:snapToGrid/>
        <w:textAlignment w:val="auto"/>
        <w:outlineLvl w:val="9"/>
        <w:rPr>
          <w:rFonts w:ascii="方正小标宋简体" w:eastAsia="方正小标宋简体"/>
          <w:sz w:val="44"/>
          <w:szCs w:val="44"/>
          <w:highlight w:val="none"/>
        </w:rPr>
      </w:pPr>
    </w:p>
    <w:p>
      <w:pPr>
        <w:keepNext w:val="0"/>
        <w:keepLines w:val="0"/>
        <w:pageBreakBefore w:val="0"/>
        <w:widowControl w:val="0"/>
        <w:kinsoku/>
        <w:wordWrap/>
        <w:overflowPunct/>
        <w:topLinePunct w:val="0"/>
        <w:bidi w:val="0"/>
        <w:snapToGrid/>
        <w:textAlignment w:val="auto"/>
        <w:outlineLvl w:val="9"/>
        <w:rPr>
          <w:rFonts w:ascii="方正小标宋简体" w:eastAsia="方正小标宋简体"/>
          <w:sz w:val="44"/>
          <w:szCs w:val="44"/>
          <w:highlight w:val="none"/>
        </w:rPr>
      </w:pPr>
    </w:p>
    <w:p>
      <w:pPr>
        <w:keepNext w:val="0"/>
        <w:keepLines w:val="0"/>
        <w:pageBreakBefore w:val="0"/>
        <w:widowControl w:val="0"/>
        <w:kinsoku/>
        <w:wordWrap/>
        <w:overflowPunct/>
        <w:topLinePunct w:val="0"/>
        <w:bidi w:val="0"/>
        <w:snapToGrid/>
        <w:spacing w:line="560" w:lineRule="exact"/>
        <w:ind w:left="3526" w:leftChars="608" w:hanging="2249" w:hangingChars="700"/>
        <w:textAlignment w:val="auto"/>
        <w:outlineLvl w:val="9"/>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sz w:val="32"/>
          <w:szCs w:val="32"/>
          <w:highlight w:val="none"/>
        </w:rPr>
        <w:t>项</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目</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名</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称</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w:t>
      </w:r>
      <w:r>
        <w:rPr>
          <w:rFonts w:hint="eastAsia" w:ascii="方正仿宋_GBK" w:hAnsi="方正仿宋_GBK" w:eastAsia="方正仿宋_GBK" w:cs="方正仿宋_GBK"/>
          <w:b/>
          <w:bCs/>
          <w:color w:val="auto"/>
          <w:kern w:val="2"/>
          <w:sz w:val="32"/>
          <w:szCs w:val="32"/>
          <w:highlight w:val="none"/>
          <w:lang w:val="en-US" w:eastAsia="zh-CN" w:bidi="ar-SA"/>
        </w:rPr>
        <w:t>麦盖提县央塔克乡、昂格特勒克乡农村供水保障工程</w:t>
      </w:r>
    </w:p>
    <w:p>
      <w:pPr>
        <w:keepNext w:val="0"/>
        <w:keepLines w:val="0"/>
        <w:pageBreakBefore w:val="0"/>
        <w:widowControl w:val="0"/>
        <w:kinsoku/>
        <w:wordWrap/>
        <w:overflowPunct/>
        <w:topLinePunct w:val="0"/>
        <w:bidi w:val="0"/>
        <w:snapToGrid/>
        <w:spacing w:line="560" w:lineRule="exact"/>
        <w:ind w:firstLine="1285" w:firstLineChars="400"/>
        <w:textAlignment w:val="auto"/>
        <w:outlineLvl w:val="9"/>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sz w:val="32"/>
          <w:szCs w:val="32"/>
          <w:highlight w:val="none"/>
        </w:rPr>
        <w:t>项目主管单位：</w:t>
      </w:r>
      <w:r>
        <w:rPr>
          <w:rFonts w:hint="eastAsia" w:ascii="方正仿宋_GBK" w:hAnsi="方正仿宋_GBK" w:eastAsia="方正仿宋_GBK" w:cs="方正仿宋_GBK"/>
          <w:b/>
          <w:bCs/>
          <w:color w:val="auto"/>
          <w:kern w:val="2"/>
          <w:sz w:val="32"/>
          <w:szCs w:val="32"/>
          <w:highlight w:val="none"/>
          <w:lang w:val="en-US" w:eastAsia="zh-CN" w:bidi="ar-SA"/>
        </w:rPr>
        <w:t>麦盖提县水利局</w:t>
      </w:r>
    </w:p>
    <w:p>
      <w:pPr>
        <w:keepNext w:val="0"/>
        <w:keepLines w:val="0"/>
        <w:pageBreakBefore w:val="0"/>
        <w:widowControl w:val="0"/>
        <w:kinsoku/>
        <w:wordWrap/>
        <w:overflowPunct/>
        <w:topLinePunct w:val="0"/>
        <w:bidi w:val="0"/>
        <w:snapToGrid/>
        <w:spacing w:line="560" w:lineRule="exact"/>
        <w:ind w:firstLine="1285" w:firstLineChars="400"/>
        <w:textAlignment w:val="auto"/>
        <w:outlineLvl w:val="9"/>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sz w:val="32"/>
          <w:szCs w:val="32"/>
          <w:highlight w:val="none"/>
        </w:rPr>
        <w:t>项目实施单位：</w:t>
      </w:r>
      <w:r>
        <w:rPr>
          <w:rFonts w:hint="eastAsia" w:ascii="方正仿宋_GBK" w:hAnsi="方正仿宋_GBK" w:eastAsia="方正仿宋_GBK" w:cs="方正仿宋_GBK"/>
          <w:b/>
          <w:bCs/>
          <w:color w:val="auto"/>
          <w:kern w:val="2"/>
          <w:sz w:val="32"/>
          <w:szCs w:val="32"/>
          <w:highlight w:val="none"/>
          <w:lang w:val="en-US" w:eastAsia="zh-CN" w:bidi="ar-SA"/>
        </w:rPr>
        <w:t>麦盖提县农村饮水服务站</w:t>
      </w:r>
    </w:p>
    <w:p>
      <w:pPr>
        <w:keepNext w:val="0"/>
        <w:keepLines w:val="0"/>
        <w:pageBreakBefore w:val="0"/>
        <w:widowControl w:val="0"/>
        <w:kinsoku/>
        <w:wordWrap/>
        <w:overflowPunct/>
        <w:topLinePunct w:val="0"/>
        <w:bidi w:val="0"/>
        <w:snapToGrid/>
        <w:spacing w:line="560" w:lineRule="exact"/>
        <w:ind w:firstLine="1285" w:firstLineChars="400"/>
        <w:textAlignment w:val="auto"/>
        <w:outlineLvl w:val="9"/>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sz w:val="32"/>
          <w:szCs w:val="32"/>
          <w:highlight w:val="none"/>
        </w:rPr>
        <w:t>编</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制</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时</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间</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w:t>
      </w:r>
      <w:r>
        <w:rPr>
          <w:rFonts w:hint="eastAsia" w:ascii="方正仿宋_GBK" w:hAnsi="方正仿宋_GBK" w:eastAsia="方正仿宋_GBK" w:cs="方正仿宋_GBK"/>
          <w:b/>
          <w:bCs/>
          <w:color w:val="auto"/>
          <w:kern w:val="2"/>
          <w:sz w:val="32"/>
          <w:szCs w:val="32"/>
          <w:highlight w:val="none"/>
          <w:lang w:val="en-US" w:eastAsia="zh-CN" w:bidi="ar-SA"/>
        </w:rPr>
        <w:t>2023年10月</w:t>
      </w:r>
    </w:p>
    <w:p>
      <w:pPr>
        <w:spacing w:before="0" w:beforeLines="0" w:after="0" w:afterLines="0" w:line="240" w:lineRule="auto"/>
        <w:ind w:left="0" w:leftChars="0" w:right="0" w:rightChars="0" w:firstLine="0" w:firstLineChars="0"/>
        <w:jc w:val="both"/>
        <w:rPr>
          <w:highlight w:val="none"/>
        </w:rPr>
      </w:pPr>
      <w:bookmarkStart w:id="0" w:name="_Toc3070"/>
      <w:bookmarkStart w:id="1" w:name="_Toc3337"/>
      <w:bookmarkStart w:id="2" w:name="_Toc16776"/>
    </w:p>
    <w:p>
      <w:pPr>
        <w:keepNext w:val="0"/>
        <w:keepLines w:val="0"/>
        <w:pageBreakBefore w:val="0"/>
        <w:widowControl w:val="0"/>
        <w:kinsoku/>
        <w:wordWrap/>
        <w:overflowPunct/>
        <w:topLinePunct w:val="0"/>
        <w:autoSpaceDE/>
        <w:autoSpaceDN/>
        <w:bidi w:val="0"/>
        <w:adjustRightInd/>
        <w:snapToGrid/>
        <w:spacing w:line="540" w:lineRule="atLeast"/>
        <w:jc w:val="center"/>
        <w:textAlignment w:val="auto"/>
        <w:outlineLvl w:val="0"/>
        <w:rPr>
          <w:rFonts w:hint="eastAsia" w:ascii="方正小标宋_GBK" w:hAnsi="方正小标宋_GBK" w:eastAsia="方正小标宋_GBK" w:cs="方正小标宋_GBK"/>
          <w:b w:val="0"/>
          <w:bCs w:val="0"/>
          <w:color w:val="auto"/>
          <w:sz w:val="44"/>
          <w:szCs w:val="44"/>
          <w:highlight w:val="none"/>
          <w:lang w:eastAsia="zh-CN"/>
        </w:rPr>
        <w:sectPr>
          <w:pgSz w:w="11906" w:h="16838"/>
          <w:pgMar w:top="1984" w:right="1531" w:bottom="1701" w:left="1531" w:header="851" w:footer="992" w:gutter="0"/>
          <w:pgNumType w:fmt="decimal" w:start="1"/>
          <w:cols w:space="425" w:num="1"/>
          <w:docGrid w:linePitch="286" w:charSpace="0"/>
        </w:sectPr>
      </w:pPr>
    </w:p>
    <w:p>
      <w:pPr>
        <w:keepNext w:val="0"/>
        <w:keepLines w:val="0"/>
        <w:pageBreakBefore w:val="0"/>
        <w:widowControl w:val="0"/>
        <w:kinsoku/>
        <w:wordWrap/>
        <w:overflowPunct/>
        <w:topLinePunct w:val="0"/>
        <w:autoSpaceDE/>
        <w:autoSpaceDN/>
        <w:bidi w:val="0"/>
        <w:adjustRightInd/>
        <w:snapToGrid/>
        <w:spacing w:line="540" w:lineRule="atLeast"/>
        <w:jc w:val="center"/>
        <w:textAlignment w:val="auto"/>
        <w:outlineLvl w:val="0"/>
        <w:rPr>
          <w:rFonts w:hint="eastAsia" w:ascii="方正小标宋_GBK" w:hAnsi="方正小标宋_GBK" w:eastAsia="方正小标宋_GBK" w:cs="方正小标宋_GBK"/>
          <w:b w:val="0"/>
          <w:bCs w:val="0"/>
          <w:color w:val="auto"/>
          <w:sz w:val="44"/>
          <w:szCs w:val="44"/>
          <w:highlight w:val="none"/>
          <w:lang w:eastAsia="zh-CN"/>
        </w:rPr>
      </w:pPr>
      <w:r>
        <w:rPr>
          <w:rFonts w:hint="eastAsia" w:ascii="方正小标宋_GBK" w:hAnsi="方正小标宋_GBK" w:eastAsia="方正小标宋_GBK" w:cs="方正小标宋_GBK"/>
          <w:b w:val="0"/>
          <w:bCs w:val="0"/>
          <w:color w:val="auto"/>
          <w:sz w:val="44"/>
          <w:szCs w:val="44"/>
          <w:highlight w:val="none"/>
          <w:lang w:eastAsia="zh-CN"/>
        </w:rPr>
        <w:t>麦盖提县央塔克乡、昂格特勒克乡农村供水保障工程实施方案</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bookmarkStart w:id="3" w:name="_Toc1942"/>
      <w:bookmarkStart w:id="4" w:name="_Toc18530"/>
      <w:r>
        <w:rPr>
          <w:rFonts w:hint="eastAsia" w:ascii="方正黑体_GBK" w:hAnsi="方正黑体_GBK" w:eastAsia="方正黑体_GBK" w:cs="方正黑体_GBK"/>
          <w:b w:val="0"/>
          <w:bCs w:val="0"/>
          <w:color w:val="auto"/>
          <w:sz w:val="32"/>
          <w:szCs w:val="32"/>
          <w:highlight w:val="none"/>
          <w:lang w:val="en-US" w:eastAsia="zh-CN"/>
        </w:rPr>
        <w:t>1.基本情况</w:t>
      </w:r>
      <w:bookmarkEnd w:id="3"/>
      <w:bookmarkEnd w:id="4"/>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bookmarkStart w:id="5" w:name="_Toc7526"/>
      <w:bookmarkStart w:id="6" w:name="_Toc31392"/>
      <w:r>
        <w:rPr>
          <w:rFonts w:hint="eastAsia" w:ascii="方正楷体_GBK" w:hAnsi="方正楷体_GBK" w:eastAsia="方正楷体_GBK" w:cs="方正楷体_GBK"/>
          <w:b/>
          <w:bCs/>
          <w:color w:val="auto"/>
          <w:sz w:val="32"/>
          <w:szCs w:val="32"/>
          <w:highlight w:val="none"/>
          <w:lang w:val="en-US" w:eastAsia="zh-CN"/>
        </w:rPr>
        <w:t>1.1项目库编号</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MGT026</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1.2项目名称</w:t>
      </w:r>
      <w:bookmarkEnd w:id="5"/>
      <w:bookmarkEnd w:id="6"/>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麦盖提县央塔克乡、昂格特勒克乡农村供水保障工程</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bookmarkStart w:id="7" w:name="_Toc10134"/>
      <w:bookmarkStart w:id="8" w:name="_Toc24726"/>
      <w:r>
        <w:rPr>
          <w:rFonts w:hint="eastAsia" w:ascii="方正楷体_GBK" w:hAnsi="方正楷体_GBK" w:eastAsia="方正楷体_GBK" w:cs="方正楷体_GBK"/>
          <w:b/>
          <w:bCs/>
          <w:color w:val="auto"/>
          <w:sz w:val="32"/>
          <w:szCs w:val="32"/>
          <w:highlight w:val="none"/>
          <w:lang w:val="en-US" w:eastAsia="zh-CN"/>
        </w:rPr>
        <w:t>1.3项目主管单位</w:t>
      </w:r>
      <w:bookmarkEnd w:id="7"/>
      <w:bookmarkEnd w:id="8"/>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1"/>
        <w:rPr>
          <w:rFonts w:hint="eastAsia" w:ascii="方正仿宋_GBK" w:hAnsi="方正仿宋_GBK" w:eastAsia="方正仿宋_GBK" w:cs="方正仿宋_GBK"/>
          <w:color w:val="auto"/>
          <w:kern w:val="2"/>
          <w:sz w:val="32"/>
          <w:szCs w:val="32"/>
          <w:highlight w:val="none"/>
          <w:lang w:val="en-US" w:eastAsia="zh-CN" w:bidi="ar-SA"/>
        </w:rPr>
      </w:pPr>
      <w:bookmarkStart w:id="9" w:name="_Toc1382"/>
      <w:bookmarkStart w:id="10" w:name="_Toc5224"/>
      <w:r>
        <w:rPr>
          <w:rFonts w:hint="eastAsia" w:ascii="方正仿宋_GBK" w:hAnsi="方正仿宋_GBK" w:eastAsia="方正仿宋_GBK" w:cs="方正仿宋_GBK"/>
          <w:color w:val="auto"/>
          <w:kern w:val="2"/>
          <w:sz w:val="32"/>
          <w:szCs w:val="32"/>
          <w:highlight w:val="none"/>
          <w:lang w:val="en-US" w:eastAsia="zh-CN" w:bidi="ar-SA"/>
        </w:rPr>
        <w:t>麦盖提县水利局</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1.4项目实施单位</w:t>
      </w:r>
      <w:bookmarkEnd w:id="9"/>
      <w:bookmarkEnd w:id="1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1"/>
        <w:rPr>
          <w:rFonts w:hint="eastAsia" w:ascii="方正仿宋_GBK" w:hAnsi="方正仿宋_GBK" w:eastAsia="方正仿宋_GBK" w:cs="方正仿宋_GBK"/>
          <w:color w:val="auto"/>
          <w:kern w:val="2"/>
          <w:sz w:val="32"/>
          <w:szCs w:val="32"/>
          <w:highlight w:val="none"/>
          <w:lang w:val="en-US" w:eastAsia="zh-CN" w:bidi="ar-SA"/>
        </w:rPr>
      </w:pPr>
      <w:bookmarkStart w:id="11" w:name="_Toc5901"/>
      <w:bookmarkStart w:id="12" w:name="_Toc26623"/>
      <w:r>
        <w:rPr>
          <w:rFonts w:hint="eastAsia" w:ascii="方正仿宋_GBK" w:hAnsi="方正仿宋_GBK" w:eastAsia="方正仿宋_GBK" w:cs="方正仿宋_GBK"/>
          <w:color w:val="auto"/>
          <w:kern w:val="2"/>
          <w:sz w:val="32"/>
          <w:szCs w:val="32"/>
          <w:highlight w:val="none"/>
          <w:lang w:val="en-US" w:eastAsia="zh-CN" w:bidi="ar-SA"/>
        </w:rPr>
        <w:t>麦盖提县农村饮水服务站</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1.5项目建设性质</w:t>
      </w:r>
      <w:bookmarkEnd w:id="11"/>
      <w:bookmarkEnd w:id="12"/>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续建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bookmarkStart w:id="13" w:name="_Toc18627"/>
      <w:bookmarkStart w:id="14" w:name="_Toc5444"/>
      <w:r>
        <w:rPr>
          <w:rFonts w:hint="eastAsia" w:ascii="方正楷体_GBK" w:hAnsi="方正楷体_GBK" w:eastAsia="方正楷体_GBK" w:cs="方正楷体_GBK"/>
          <w:b/>
          <w:bCs/>
          <w:color w:val="auto"/>
          <w:sz w:val="32"/>
          <w:szCs w:val="32"/>
          <w:highlight w:val="none"/>
          <w:lang w:val="en-US" w:eastAsia="zh-CN"/>
        </w:rPr>
        <w:t>1.6项目类别</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农村饮水安全项目</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1.7 项目建设内容</w:t>
      </w:r>
      <w:bookmarkEnd w:id="13"/>
      <w:bookmarkEnd w:id="14"/>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FF0000"/>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本项目主要用于更换配水管道243.0千米，新建配套闸阀井66座。</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bookmarkStart w:id="15" w:name="_Toc7352"/>
      <w:bookmarkStart w:id="16" w:name="_Toc32191"/>
      <w:r>
        <w:rPr>
          <w:rFonts w:hint="eastAsia" w:ascii="方正楷体_GBK" w:hAnsi="方正楷体_GBK" w:eastAsia="方正楷体_GBK" w:cs="方正楷体_GBK"/>
          <w:b/>
          <w:bCs/>
          <w:color w:val="auto"/>
          <w:sz w:val="32"/>
          <w:szCs w:val="32"/>
          <w:highlight w:val="none"/>
          <w:lang w:val="en-US" w:eastAsia="zh-CN"/>
        </w:rPr>
        <w:t>1.8项目建设期限</w:t>
      </w:r>
      <w:bookmarkEnd w:id="15"/>
      <w:bookmarkEnd w:id="16"/>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本项目2024年4月开工，2024年7月完工。</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bookmarkStart w:id="17" w:name="_Toc3749"/>
      <w:bookmarkStart w:id="18" w:name="_Toc19938"/>
      <w:r>
        <w:rPr>
          <w:rFonts w:hint="eastAsia" w:ascii="方正楷体_GBK" w:hAnsi="方正楷体_GBK" w:eastAsia="方正楷体_GBK" w:cs="方正楷体_GBK"/>
          <w:b/>
          <w:bCs/>
          <w:color w:val="auto"/>
          <w:sz w:val="32"/>
          <w:szCs w:val="32"/>
          <w:highlight w:val="none"/>
          <w:lang w:val="en-US" w:eastAsia="zh-CN"/>
        </w:rPr>
        <w:t>1.9项目建设地点及基本情况</w:t>
      </w:r>
      <w:bookmarkEnd w:id="17"/>
      <w:bookmarkEnd w:id="18"/>
    </w:p>
    <w:p>
      <w:pPr>
        <w:pStyle w:val="17"/>
        <w:snapToGrid w:val="0"/>
        <w:spacing w:line="570" w:lineRule="exact"/>
        <w:ind w:firstLine="664"/>
        <w:textAlignment w:val="baseline"/>
        <w:rPr>
          <w:rFonts w:hint="default" w:ascii="Times New Roman" w:hAnsi="Times New Roman" w:eastAsia="方正仿宋_GBK" w:cs="方正仿宋_GBK"/>
          <w:b/>
          <w:bCs/>
          <w:spacing w:val="6"/>
          <w:sz w:val="32"/>
          <w:szCs w:val="32"/>
          <w:highlight w:val="none"/>
          <w:lang w:val="en-US" w:eastAsia="zh-CN"/>
        </w:rPr>
      </w:pPr>
      <w:r>
        <w:rPr>
          <w:rFonts w:hint="eastAsia" w:ascii="Times New Roman" w:hAnsi="Times New Roman" w:eastAsia="方正仿宋_GBK" w:cs="方正仿宋_GBK"/>
          <w:b/>
          <w:bCs/>
          <w:spacing w:val="6"/>
          <w:sz w:val="32"/>
          <w:szCs w:val="32"/>
          <w:highlight w:val="none"/>
          <w:lang w:val="en-US" w:eastAsia="zh-CN"/>
        </w:rPr>
        <w:t>1.9.1项目建设地点</w:t>
      </w:r>
    </w:p>
    <w:p>
      <w:pPr>
        <w:pStyle w:val="17"/>
        <w:snapToGrid w:val="0"/>
        <w:spacing w:line="570" w:lineRule="exact"/>
        <w:ind w:firstLine="664"/>
        <w:textAlignment w:val="baseline"/>
        <w:rPr>
          <w:rFonts w:hint="eastAsia" w:ascii="Times New Roman" w:hAnsi="Times New Roman" w:eastAsia="方正仿宋_GBK" w:cs="方正仿宋_GBK"/>
          <w:spacing w:val="6"/>
          <w:sz w:val="32"/>
          <w:szCs w:val="32"/>
          <w:highlight w:val="none"/>
          <w:lang w:val="en-US" w:eastAsia="zh-CN"/>
        </w:rPr>
      </w:pPr>
      <w:r>
        <w:rPr>
          <w:rFonts w:hint="eastAsia" w:ascii="Times New Roman" w:hAnsi="Times New Roman" w:eastAsia="方正仿宋_GBK" w:cs="方正仿宋_GBK"/>
          <w:spacing w:val="6"/>
          <w:sz w:val="32"/>
          <w:szCs w:val="32"/>
          <w:highlight w:val="none"/>
          <w:lang w:val="en-US" w:eastAsia="zh-CN"/>
        </w:rPr>
        <w:t>麦盖提县央塔克乡、昂格特勒克乡</w:t>
      </w:r>
    </w:p>
    <w:p>
      <w:pPr>
        <w:pStyle w:val="17"/>
        <w:snapToGrid w:val="0"/>
        <w:spacing w:line="570" w:lineRule="exact"/>
        <w:ind w:firstLine="664"/>
        <w:textAlignment w:val="baseline"/>
        <w:rPr>
          <w:rFonts w:hint="default" w:ascii="Times New Roman" w:hAnsi="Times New Roman" w:eastAsia="方正仿宋_GBK" w:cs="方正仿宋_GBK"/>
          <w:b/>
          <w:bCs/>
          <w:spacing w:val="6"/>
          <w:sz w:val="32"/>
          <w:szCs w:val="32"/>
          <w:highlight w:val="none"/>
          <w:lang w:val="en-US" w:eastAsia="zh-CN"/>
        </w:rPr>
      </w:pPr>
      <w:r>
        <w:rPr>
          <w:rFonts w:hint="eastAsia" w:ascii="Times New Roman" w:hAnsi="Times New Roman" w:eastAsia="方正仿宋_GBK" w:cs="方正仿宋_GBK"/>
          <w:b/>
          <w:bCs/>
          <w:spacing w:val="6"/>
          <w:sz w:val="32"/>
          <w:szCs w:val="32"/>
          <w:highlight w:val="none"/>
          <w:lang w:val="en-US" w:eastAsia="zh-CN"/>
        </w:rPr>
        <w:t>1.9.2基本情况</w:t>
      </w:r>
    </w:p>
    <w:p>
      <w:pPr>
        <w:pStyle w:val="17"/>
        <w:snapToGrid w:val="0"/>
        <w:spacing w:line="570" w:lineRule="exact"/>
        <w:ind w:firstLine="664"/>
        <w:textAlignment w:val="baseline"/>
        <w:rPr>
          <w:rFonts w:hint="eastAsia" w:ascii="方正仿宋_GBK" w:hAnsi="方正仿宋_GBK" w:eastAsia="方正仿宋_GBK" w:cs="方正仿宋_GBK"/>
          <w:spacing w:val="6"/>
          <w:sz w:val="32"/>
          <w:szCs w:val="32"/>
          <w:highlight w:val="none"/>
        </w:rPr>
      </w:pPr>
      <w:r>
        <w:rPr>
          <w:rFonts w:hint="eastAsia" w:ascii="方正仿宋_GBK" w:hAnsi="方正仿宋_GBK" w:eastAsia="方正仿宋_GBK" w:cs="方正仿宋_GBK"/>
          <w:spacing w:val="6"/>
          <w:sz w:val="32"/>
          <w:szCs w:val="32"/>
          <w:highlight w:val="none"/>
        </w:rPr>
        <w:t>麦盖提县位于新疆西南边陲，塔克拉玛干大沙漠西南边缘，位于叶尔羌河和提孜那甫河灌区的中、下游，南临莎车县，西接岳普湖县、牌楼苏帕墩村，北靠巴楚县，距喀什市175km。地处东经77°22′-79°12′，北纬38°23′-39°26′之间。全县地势由西南向东北缓慢倾斜，地面坡降在1/2000—1/3500之间，南北宽136km，东西长160km，总面积为15200km2。麦盖提县辖2个镇、8个乡，另辖2个农林场。</w:t>
      </w:r>
    </w:p>
    <w:p>
      <w:pPr>
        <w:pStyle w:val="17"/>
        <w:snapToGrid w:val="0"/>
        <w:spacing w:line="570" w:lineRule="exact"/>
        <w:ind w:firstLine="664"/>
        <w:textAlignment w:val="baseline"/>
        <w:rPr>
          <w:rFonts w:hint="eastAsia" w:ascii="方正仿宋_GBK" w:hAnsi="方正仿宋_GBK" w:eastAsia="方正仿宋_GBK" w:cs="方正仿宋_GBK"/>
          <w:spacing w:val="6"/>
          <w:sz w:val="32"/>
          <w:szCs w:val="32"/>
          <w:highlight w:val="none"/>
        </w:rPr>
      </w:pPr>
      <w:r>
        <w:rPr>
          <w:rFonts w:hint="eastAsia" w:ascii="方正仿宋_GBK" w:hAnsi="方正仿宋_GBK" w:eastAsia="方正仿宋_GBK" w:cs="方正仿宋_GBK"/>
          <w:spacing w:val="6"/>
          <w:sz w:val="32"/>
          <w:szCs w:val="32"/>
          <w:highlight w:val="none"/>
        </w:rPr>
        <w:t>央塔克乡地处麦盖提县北部，东与塔克拉玛干大沙漠及农三师四十三团相接，南与巴扎结米乡相连，西沿叶尔羌河与英阿瓦提乡毗邻，北与吐曼塔勒乡接壤，距麦盖提县城10km。</w:t>
      </w:r>
    </w:p>
    <w:p>
      <w:pPr>
        <w:pStyle w:val="17"/>
        <w:snapToGrid w:val="0"/>
        <w:spacing w:line="570" w:lineRule="exact"/>
        <w:ind w:firstLine="664"/>
        <w:textAlignment w:val="baseline"/>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spacing w:val="6"/>
          <w:sz w:val="32"/>
          <w:szCs w:val="32"/>
          <w:highlight w:val="none"/>
        </w:rPr>
        <w:t>昂格特勒克乡地处麦盖提县西北部，东、北与央塔克乡接壤，南与巴扎结米乡相连，西隔叶尔羌河与希依提墩乡相望，南距麦盖提县城区5.4km</w:t>
      </w:r>
      <w:r>
        <w:rPr>
          <w:rFonts w:hint="eastAsia" w:ascii="方正仿宋_GBK" w:hAnsi="方正仿宋_GBK" w:eastAsia="方正仿宋_GBK" w:cs="方正仿宋_GBK"/>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bookmarkStart w:id="19" w:name="_Toc9747"/>
      <w:bookmarkStart w:id="20" w:name="_Toc1043"/>
      <w:r>
        <w:rPr>
          <w:rFonts w:hint="eastAsia" w:ascii="方正黑体_GBK" w:hAnsi="方正黑体_GBK" w:eastAsia="方正黑体_GBK" w:cs="方正黑体_GBK"/>
          <w:b w:val="0"/>
          <w:bCs w:val="0"/>
          <w:color w:val="auto"/>
          <w:sz w:val="32"/>
          <w:szCs w:val="32"/>
          <w:highlight w:val="none"/>
          <w:lang w:val="en-US" w:eastAsia="zh-CN"/>
        </w:rPr>
        <w:t>2.项目立项情况</w:t>
      </w:r>
      <w:bookmarkEnd w:id="19"/>
      <w:bookmarkEnd w:id="20"/>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bookmarkStart w:id="21" w:name="_Toc11998"/>
      <w:bookmarkStart w:id="22" w:name="_Toc21917"/>
      <w:r>
        <w:rPr>
          <w:rFonts w:hint="eastAsia" w:ascii="方正楷体_GBK" w:hAnsi="方正楷体_GBK" w:eastAsia="方正楷体_GBK" w:cs="方正楷体_GBK"/>
          <w:b/>
          <w:bCs/>
          <w:color w:val="auto"/>
          <w:sz w:val="32"/>
          <w:szCs w:val="32"/>
          <w:highlight w:val="none"/>
          <w:lang w:val="en-US" w:eastAsia="zh-CN"/>
        </w:rPr>
        <w:t>2.1项目建设依据</w:t>
      </w:r>
      <w:bookmarkEnd w:id="21"/>
      <w:bookmarkEnd w:id="22"/>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hint="eastAsia" w:ascii="Times New Roman" w:hAnsi="Times New Roman" w:eastAsia="方正仿宋_GBK" w:cs="方正仿宋_GBK"/>
          <w:spacing w:val="6"/>
          <w:sz w:val="32"/>
          <w:szCs w:val="32"/>
          <w:highlight w:val="none"/>
        </w:rPr>
      </w:pPr>
      <w:bookmarkStart w:id="23" w:name="_Toc1834"/>
      <w:bookmarkStart w:id="24" w:name="_Toc10457"/>
      <w:r>
        <w:rPr>
          <w:rFonts w:hint="eastAsia" w:ascii="方正仿宋_GBK" w:hAnsi="方正仿宋_GBK" w:eastAsia="方正仿宋_GBK" w:cs="方正仿宋_GBK"/>
          <w:spacing w:val="6"/>
          <w:sz w:val="32"/>
          <w:szCs w:val="32"/>
          <w:highlight w:val="none"/>
        </w:rPr>
        <w:t>党中央、国务院高度重视农村供水工作，自2005年国家实施农村供水工程建设以来，农村供水保障能力得到快速提高，农村居民饮水条件得到显著改善，城乡供水差距进一步缩小。“十四五”时期，国家实施乡村振兴战略和城乡融合发展对农村供水提出了新的要求：一是村庄及人口布局变化、农村人居环境改善和农村改厕，以及产业发展要求提高供水能力和保障水平。二是满足人民群众对美好生活的向往需逐步提升现行</w:t>
      </w:r>
      <w:r>
        <w:rPr>
          <w:rFonts w:hint="eastAsia" w:ascii="Times New Roman" w:hAnsi="Times New Roman" w:eastAsia="方正仿宋_GBK" w:cs="方正仿宋_GBK"/>
          <w:spacing w:val="6"/>
          <w:sz w:val="32"/>
          <w:szCs w:val="32"/>
          <w:highlight w:val="none"/>
        </w:rPr>
        <w:t>标准。但由于我国国情、水情和区域发展不平衡，农村供水整体仍处于初级阶段，与实施乡村振兴战略的要求还不适应，在供水保障程度、供水质量和服务水平、建管体制机制和信息化管理水平等方面亟待提升和加强。</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hint="eastAsia" w:ascii="Times New Roman" w:hAnsi="Times New Roman" w:eastAsia="方正仿宋_GBK" w:cs="方正仿宋_GBK"/>
          <w:spacing w:val="6"/>
          <w:sz w:val="32"/>
          <w:szCs w:val="32"/>
          <w:highlight w:val="none"/>
        </w:rPr>
      </w:pPr>
      <w:r>
        <w:rPr>
          <w:rFonts w:hint="eastAsia" w:ascii="Times New Roman" w:hAnsi="Times New Roman" w:eastAsia="方正仿宋_GBK" w:cs="方正仿宋_GBK"/>
          <w:spacing w:val="6"/>
          <w:sz w:val="32"/>
          <w:szCs w:val="32"/>
          <w:highlight w:val="none"/>
        </w:rPr>
        <w:t>根据“十四五”规划的要求，进一步提高麦盖提县农村供水保证率、水质达标率、自来水入户率和工程运行管理水平；全面完成农村水源地保护，完成农村水价改革与运行管护机制落实，实现农村供水运行维护信息化，建立完善“从源头到龙头”全流程的农村安全供水体系。</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hint="eastAsia" w:ascii="方正仿宋_GBK" w:hAnsi="方正仿宋_GBK" w:eastAsia="方正仿宋_GBK" w:cs="方正仿宋_GBK"/>
          <w:spacing w:val="6"/>
          <w:sz w:val="32"/>
          <w:szCs w:val="32"/>
          <w:highlight w:val="none"/>
        </w:rPr>
      </w:pPr>
      <w:r>
        <w:rPr>
          <w:rFonts w:hint="eastAsia" w:ascii="方正仿宋_GBK" w:hAnsi="方正仿宋_GBK" w:eastAsia="方正仿宋_GBK" w:cs="方正仿宋_GBK"/>
          <w:spacing w:val="6"/>
          <w:sz w:val="32"/>
          <w:szCs w:val="32"/>
          <w:highlight w:val="none"/>
        </w:rPr>
        <w:t>麦盖提县“十四五”农村供水规划按照乡村振兴梯次推进的总体部署，积极推进农村供水工程规模化建设和升级改造。以建立合理水价机制为重点，全面建立长效运行管理机制，提升农村供水管理服务水平。按照城乡融合发展要求和村庄规划布局，统筹规划，尽力而为，量力而行，优化农村供水格局。采取“抓两头带中间”的方式，实施规模化工程建设和升级改造，充分利用大水源、大水厂以及现有供水设施和输配水管网，全县推进规模化工程（城乡一体化和万人工程）建设。因地制宜推进小型工程规范化建设和改造。通过“两头”一挤，带动“中间”，突出体制机制完善和“建大、并中、减小”，提升工程建设和管理水平。</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spacing w:val="6"/>
          <w:sz w:val="32"/>
          <w:szCs w:val="32"/>
          <w:highlight w:val="none"/>
        </w:rPr>
        <w:t>在“十四五”期间，麦盖提县农村供水“十四五”规划改造工程6处：“麦盖提县城乡一体化供水工程”、“麦盖提</w:t>
      </w:r>
      <w:r>
        <w:rPr>
          <w:rFonts w:hint="eastAsia" w:ascii="Times New Roman" w:hAnsi="Times New Roman" w:eastAsia="方正仿宋_GBK" w:cs="方正仿宋_GBK"/>
          <w:spacing w:val="6"/>
          <w:sz w:val="32"/>
          <w:szCs w:val="32"/>
          <w:highlight w:val="none"/>
        </w:rPr>
        <w:t>县巴扎结米镇、库木库萨尔乡农村饮水安全管网提升改造工程”、“麦盖提县希依提墩乡农村饮水安全管网提升改造工程”、“麦盖提县央塔克乡、昂格特勒克乡农村饮水安全管网提升改造工程”、“麦盖提县尕孜库勒乡、克孜勒阿瓦提乡农村饮水安全管网提升改造工程”、“麦盖提县吐曼塔勒乡、库尔玛乡农村饮水安全管网提升改造工程”。本工程属于央塔克乡、昂格特勒克乡农村饮水安全管网提升改造工程</w:t>
      </w:r>
      <w:r>
        <w:rPr>
          <w:rFonts w:hint="eastAsia" w:ascii="方正仿宋_GBK" w:hAnsi="方正仿宋_GBK" w:eastAsia="方正仿宋_GBK" w:cs="方正仿宋_GBK"/>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2.2项目建设的必要性和可行性</w:t>
      </w:r>
      <w:bookmarkEnd w:id="23"/>
      <w:bookmarkEnd w:id="24"/>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jc w:val="both"/>
        <w:textAlignment w:val="auto"/>
        <w:outlineLvl w:val="9"/>
        <w:rPr>
          <w:rFonts w:hint="eastAsia" w:ascii="方正仿宋_GBK" w:hAnsi="方正仿宋_GBK" w:eastAsia="方正仿宋_GBK" w:cs="方正仿宋_GBK"/>
          <w:spacing w:val="6"/>
          <w:sz w:val="32"/>
          <w:szCs w:val="32"/>
          <w:highlight w:val="none"/>
        </w:rPr>
      </w:pPr>
      <w:bookmarkStart w:id="25" w:name="_Toc31146"/>
      <w:bookmarkStart w:id="26" w:name="_Toc11018"/>
      <w:r>
        <w:rPr>
          <w:rFonts w:hint="eastAsia" w:ascii="方正仿宋_GBK" w:hAnsi="方正仿宋_GBK" w:eastAsia="方正仿宋_GBK" w:cs="方正仿宋_GBK"/>
          <w:spacing w:val="6"/>
          <w:sz w:val="32"/>
          <w:szCs w:val="32"/>
          <w:highlight w:val="none"/>
        </w:rPr>
        <w:t>2019年通过实施麦盖提县央塔克乡、昂格特勒克乡农村饮水安全巩固提升工程，对水厂和供水管网进行改扩建，设计日最高供水量5789.9m3。该工程利用已建昂格特勒克乡、央塔克乡水厂对抽取的地下水进行处理后，分为两路向供水区域配水：一路经过配水泵加压给昂格特勒克乡和央塔克乡上游村庄供水，另一路经输水泵加压将水输送至</w:t>
      </w:r>
      <w:r>
        <w:rPr>
          <w:rFonts w:hint="eastAsia" w:ascii="方正仿宋_GBK" w:hAnsi="方正仿宋_GBK" w:eastAsia="方正仿宋_GBK" w:cs="方正仿宋_GBK"/>
          <w:spacing w:val="6"/>
          <w:sz w:val="32"/>
          <w:szCs w:val="32"/>
          <w:highlight w:val="none"/>
          <w:lang w:val="en-US" w:eastAsia="zh-CN"/>
        </w:rPr>
        <w:t>央塔克乡</w:t>
      </w:r>
      <w:r>
        <w:rPr>
          <w:rFonts w:hint="eastAsia" w:ascii="方正仿宋_GBK" w:hAnsi="方正仿宋_GBK" w:eastAsia="方正仿宋_GBK" w:cs="方正仿宋_GBK"/>
          <w:spacing w:val="6"/>
          <w:sz w:val="32"/>
          <w:szCs w:val="32"/>
          <w:highlight w:val="none"/>
        </w:rPr>
        <w:t>加压站，由加压站向央塔克乡下游村庄</w:t>
      </w:r>
      <w:r>
        <w:rPr>
          <w:rFonts w:hint="eastAsia" w:ascii="方正仿宋_GBK" w:hAnsi="方正仿宋_GBK" w:eastAsia="方正仿宋_GBK" w:cs="方正仿宋_GBK"/>
          <w:spacing w:val="6"/>
          <w:sz w:val="32"/>
          <w:szCs w:val="32"/>
          <w:highlight w:val="none"/>
          <w:lang w:val="en-US" w:eastAsia="zh-CN"/>
        </w:rPr>
        <w:t>供</w:t>
      </w:r>
      <w:r>
        <w:rPr>
          <w:rFonts w:hint="eastAsia" w:ascii="方正仿宋_GBK" w:hAnsi="方正仿宋_GBK" w:eastAsia="方正仿宋_GBK" w:cs="方正仿宋_GBK"/>
          <w:spacing w:val="6"/>
          <w:sz w:val="32"/>
          <w:szCs w:val="32"/>
          <w:highlight w:val="none"/>
        </w:rPr>
        <w:t>水。供水区域覆盖央塔克乡、昂格特勒克乡两个乡29个村庄及乡政府，供水人口</w:t>
      </w:r>
      <w:r>
        <w:rPr>
          <w:rFonts w:hint="eastAsia" w:ascii="方正仿宋_GBK" w:hAnsi="方正仿宋_GBK" w:eastAsia="方正仿宋_GBK" w:cs="方正仿宋_GBK"/>
          <w:spacing w:val="6"/>
          <w:sz w:val="32"/>
          <w:szCs w:val="32"/>
          <w:highlight w:val="none"/>
          <w:lang w:val="en-US" w:eastAsia="zh-CN"/>
        </w:rPr>
        <w:t>3.99万</w:t>
      </w:r>
      <w:r>
        <w:rPr>
          <w:rFonts w:hint="eastAsia" w:ascii="方正仿宋_GBK" w:hAnsi="方正仿宋_GBK" w:eastAsia="方正仿宋_GBK" w:cs="方正仿宋_GBK"/>
          <w:spacing w:val="6"/>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jc w:val="both"/>
        <w:textAlignment w:val="auto"/>
        <w:outlineLvl w:val="9"/>
        <w:rPr>
          <w:rFonts w:hint="eastAsia" w:ascii="方正仿宋_GBK" w:hAnsi="方正仿宋_GBK" w:eastAsia="方正仿宋_GBK" w:cs="方正仿宋_GBK"/>
          <w:spacing w:val="6"/>
          <w:sz w:val="32"/>
          <w:szCs w:val="32"/>
          <w:highlight w:val="none"/>
        </w:rPr>
      </w:pPr>
      <w:r>
        <w:rPr>
          <w:rFonts w:hint="eastAsia" w:ascii="方正仿宋_GBK" w:hAnsi="方正仿宋_GBK" w:eastAsia="方正仿宋_GBK" w:cs="方正仿宋_GBK"/>
          <w:spacing w:val="6"/>
          <w:sz w:val="32"/>
          <w:szCs w:val="32"/>
          <w:highlight w:val="none"/>
        </w:rPr>
        <w:t>随着乡村振兴全面推进、产业发展、新农村建设对供水保障的要求，央塔克乡、昂格特勒克乡水厂供水片区仍存在一些短板和不足。一是该项目区历次建设中铺设的管道更换率仅为41.23%，早期的PVC管道老化破损严重，跑冒滴漏现象突出，造成大量水资源浪费，增加维修养护费成本；二是乡镇对</w:t>
      </w:r>
      <w:r>
        <w:rPr>
          <w:rFonts w:hint="eastAsia" w:ascii="方正仿宋_GBK" w:hAnsi="方正仿宋_GBK" w:eastAsia="方正仿宋_GBK" w:cs="方正仿宋_GBK"/>
          <w:spacing w:val="6"/>
          <w:sz w:val="32"/>
          <w:szCs w:val="32"/>
          <w:highlight w:val="none"/>
          <w:lang w:eastAsia="zh-CN"/>
        </w:rPr>
        <w:t>田间</w:t>
      </w:r>
      <w:r>
        <w:rPr>
          <w:rFonts w:hint="eastAsia" w:ascii="方正仿宋_GBK" w:hAnsi="方正仿宋_GBK" w:eastAsia="方正仿宋_GBK" w:cs="方正仿宋_GBK"/>
          <w:spacing w:val="6"/>
          <w:sz w:val="32"/>
          <w:szCs w:val="32"/>
          <w:highlight w:val="none"/>
        </w:rPr>
        <w:t>、道路改建从而削减了管道埋深，导致管道埋深不足，在冬季无法满足管道防冻要求，造成冬季用水不方便。</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jc w:val="both"/>
        <w:textAlignment w:val="auto"/>
        <w:outlineLvl w:val="9"/>
        <w:rPr>
          <w:rFonts w:hint="eastAsia" w:ascii="方正仿宋_GBK" w:hAnsi="方正仿宋_GBK" w:eastAsia="方正仿宋_GBK" w:cs="方正仿宋_GBK"/>
          <w:spacing w:val="6"/>
          <w:sz w:val="32"/>
          <w:szCs w:val="32"/>
          <w:highlight w:val="none"/>
        </w:rPr>
      </w:pPr>
      <w:r>
        <w:rPr>
          <w:rFonts w:hint="eastAsia" w:ascii="方正仿宋_GBK" w:hAnsi="方正仿宋_GBK" w:eastAsia="方正仿宋_GBK" w:cs="方正仿宋_GBK"/>
          <w:spacing w:val="6"/>
          <w:sz w:val="32"/>
          <w:szCs w:val="32"/>
          <w:highlight w:val="none"/>
        </w:rPr>
        <w:t>本工程通过对老旧管网及附属建筑物设施进行提升改造，将极大改善项目区29个行政村</w:t>
      </w:r>
      <w:r>
        <w:rPr>
          <w:rFonts w:hint="eastAsia" w:ascii="方正仿宋_GBK" w:hAnsi="方正仿宋_GBK" w:eastAsia="方正仿宋_GBK" w:cs="方正仿宋_GBK"/>
          <w:spacing w:val="6"/>
          <w:sz w:val="32"/>
          <w:szCs w:val="32"/>
          <w:highlight w:val="none"/>
          <w:lang w:val="en-US" w:eastAsia="zh-CN"/>
        </w:rPr>
        <w:t>3.99万</w:t>
      </w:r>
      <w:r>
        <w:rPr>
          <w:rFonts w:hint="eastAsia" w:ascii="方正仿宋_GBK" w:hAnsi="方正仿宋_GBK" w:eastAsia="方正仿宋_GBK" w:cs="方正仿宋_GBK"/>
          <w:spacing w:val="6"/>
          <w:sz w:val="32"/>
          <w:szCs w:val="32"/>
          <w:highlight w:val="none"/>
        </w:rPr>
        <w:t>人农村居民的供水保障水平，进一步提高供水保证率，为巩固拓展脱贫攻坚农村供水成果，助力推进乡村振兴提供供水保障，实施本工程是十分必要的，也是可行的。</w:t>
      </w:r>
    </w:p>
    <w:bookmarkEnd w:id="25"/>
    <w:bookmarkEnd w:id="26"/>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bookmarkStart w:id="27" w:name="_Toc28816"/>
      <w:bookmarkStart w:id="28" w:name="_Toc3197"/>
      <w:r>
        <w:rPr>
          <w:rFonts w:hint="eastAsia" w:ascii="方正黑体_GBK" w:hAnsi="方正黑体_GBK" w:eastAsia="方正黑体_GBK" w:cs="方正黑体_GBK"/>
          <w:b w:val="0"/>
          <w:bCs w:val="0"/>
          <w:color w:val="auto"/>
          <w:sz w:val="32"/>
          <w:szCs w:val="32"/>
          <w:highlight w:val="none"/>
          <w:lang w:val="en-US" w:eastAsia="zh-CN"/>
        </w:rPr>
        <w:t>3.施工设计（设计或技术方案）</w:t>
      </w:r>
      <w:bookmarkEnd w:id="27"/>
      <w:bookmarkEnd w:id="28"/>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bookmarkStart w:id="29" w:name="_Toc23807"/>
      <w:bookmarkStart w:id="30" w:name="_Toc28398"/>
      <w:r>
        <w:rPr>
          <w:rFonts w:hint="eastAsia" w:ascii="方正楷体_GBK" w:hAnsi="方正楷体_GBK" w:eastAsia="方正楷体_GBK" w:cs="方正楷体_GBK"/>
          <w:b/>
          <w:bCs/>
          <w:color w:val="auto"/>
          <w:sz w:val="32"/>
          <w:szCs w:val="32"/>
          <w:highlight w:val="none"/>
          <w:lang w:val="en-US" w:eastAsia="zh-CN"/>
        </w:rPr>
        <w:t>3.1项目设计（技术依据）</w:t>
      </w:r>
      <w:bookmarkEnd w:id="29"/>
      <w:bookmarkEnd w:id="30"/>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方正仿宋_GBK" w:hAnsi="方正仿宋_GBK" w:eastAsia="方正仿宋_GBK" w:cs="方正仿宋_GBK"/>
          <w:b/>
          <w:bCs/>
          <w:color w:val="auto"/>
          <w:kern w:val="2"/>
          <w:sz w:val="32"/>
          <w:szCs w:val="32"/>
          <w:highlight w:val="none"/>
          <w:lang w:val="en-US" w:eastAsia="zh-CN" w:bidi="ar-SA"/>
        </w:rPr>
      </w:pPr>
      <w:bookmarkStart w:id="31" w:name="_Toc17940"/>
      <w:bookmarkStart w:id="32" w:name="_Toc19416"/>
      <w:r>
        <w:rPr>
          <w:rFonts w:hint="eastAsia" w:ascii="方正仿宋_GBK" w:hAnsi="方正仿宋_GBK" w:eastAsia="方正仿宋_GBK" w:cs="方正仿宋_GBK"/>
          <w:b/>
          <w:bCs/>
          <w:color w:val="auto"/>
          <w:kern w:val="2"/>
          <w:sz w:val="32"/>
          <w:szCs w:val="32"/>
          <w:highlight w:val="none"/>
          <w:lang w:val="en-US" w:eastAsia="zh-CN" w:bidi="ar-SA"/>
        </w:rPr>
        <w:t xml:space="preserve">3.1.1 设计依据 </w:t>
      </w:r>
    </w:p>
    <w:p>
      <w:pPr>
        <w:pStyle w:val="17"/>
        <w:snapToGrid w:val="0"/>
        <w:spacing w:line="570" w:lineRule="exact"/>
        <w:ind w:firstLine="664"/>
        <w:textAlignment w:val="baseline"/>
        <w:rPr>
          <w:rFonts w:hint="eastAsia" w:ascii="方正仿宋_GBK" w:hAnsi="方正仿宋_GBK" w:eastAsia="方正仿宋_GBK" w:cs="方正仿宋_GBK"/>
          <w:spacing w:val="6"/>
          <w:sz w:val="32"/>
          <w:szCs w:val="32"/>
          <w:highlight w:val="none"/>
        </w:rPr>
      </w:pPr>
      <w:r>
        <w:rPr>
          <w:rFonts w:hint="eastAsia" w:ascii="方正仿宋_GBK" w:hAnsi="方正仿宋_GBK" w:eastAsia="方正仿宋_GBK" w:cs="方正仿宋_GBK"/>
          <w:spacing w:val="6"/>
          <w:sz w:val="32"/>
          <w:szCs w:val="32"/>
          <w:highlight w:val="none"/>
          <w:lang w:eastAsia="zh-CN"/>
        </w:rPr>
        <w:t>（</w:t>
      </w:r>
      <w:r>
        <w:rPr>
          <w:rFonts w:hint="eastAsia" w:ascii="方正仿宋_GBK" w:hAnsi="方正仿宋_GBK" w:eastAsia="方正仿宋_GBK" w:cs="方正仿宋_GBK"/>
          <w:spacing w:val="6"/>
          <w:sz w:val="32"/>
          <w:szCs w:val="32"/>
          <w:highlight w:val="none"/>
          <w:lang w:val="en-US" w:eastAsia="zh-CN"/>
        </w:rPr>
        <w:t>1</w:t>
      </w:r>
      <w:r>
        <w:rPr>
          <w:rFonts w:hint="eastAsia" w:ascii="方正仿宋_GBK" w:hAnsi="方正仿宋_GBK" w:eastAsia="方正仿宋_GBK" w:cs="方正仿宋_GBK"/>
          <w:spacing w:val="6"/>
          <w:sz w:val="32"/>
          <w:szCs w:val="32"/>
          <w:highlight w:val="none"/>
          <w:lang w:eastAsia="zh-CN"/>
        </w:rPr>
        <w:t>）</w:t>
      </w:r>
      <w:r>
        <w:rPr>
          <w:rFonts w:hint="eastAsia" w:ascii="方正仿宋_GBK" w:hAnsi="方正仿宋_GBK" w:eastAsia="方正仿宋_GBK" w:cs="方正仿宋_GBK"/>
          <w:spacing w:val="6"/>
          <w:sz w:val="32"/>
          <w:szCs w:val="32"/>
          <w:highlight w:val="none"/>
        </w:rPr>
        <w:t>法律、法规</w:t>
      </w:r>
    </w:p>
    <w:p>
      <w:pPr>
        <w:pStyle w:val="17"/>
        <w:snapToGrid w:val="0"/>
        <w:spacing w:line="570" w:lineRule="exact"/>
        <w:ind w:firstLine="664"/>
        <w:textAlignment w:val="baseline"/>
        <w:rPr>
          <w:rFonts w:hint="eastAsia" w:ascii="方正仿宋_GBK" w:hAnsi="方正仿宋_GBK" w:eastAsia="方正仿宋_GBK" w:cs="方正仿宋_GBK"/>
          <w:spacing w:val="6"/>
          <w:sz w:val="32"/>
          <w:szCs w:val="32"/>
          <w:highlight w:val="none"/>
        </w:rPr>
      </w:pPr>
      <w:r>
        <w:rPr>
          <w:rFonts w:hint="eastAsia" w:ascii="方正仿宋_GBK" w:hAnsi="方正仿宋_GBK" w:eastAsia="方正仿宋_GBK" w:cs="方正仿宋_GBK"/>
          <w:spacing w:val="6"/>
          <w:sz w:val="32"/>
          <w:szCs w:val="32"/>
          <w:highlight w:val="none"/>
        </w:rPr>
        <w:t xml:space="preserve">①《中华人民共和国水法》（2016年修正）； </w:t>
      </w:r>
    </w:p>
    <w:p>
      <w:pPr>
        <w:pStyle w:val="17"/>
        <w:snapToGrid w:val="0"/>
        <w:spacing w:line="570" w:lineRule="exact"/>
        <w:ind w:firstLine="664"/>
        <w:textAlignment w:val="baseline"/>
        <w:rPr>
          <w:rFonts w:hint="eastAsia" w:ascii="方正仿宋_GBK" w:hAnsi="方正仿宋_GBK" w:eastAsia="方正仿宋_GBK" w:cs="方正仿宋_GBK"/>
          <w:spacing w:val="6"/>
          <w:sz w:val="32"/>
          <w:szCs w:val="32"/>
          <w:highlight w:val="none"/>
        </w:rPr>
      </w:pPr>
      <w:r>
        <w:rPr>
          <w:rFonts w:hint="eastAsia" w:ascii="方正仿宋_GBK" w:hAnsi="方正仿宋_GBK" w:eastAsia="方正仿宋_GBK" w:cs="方正仿宋_GBK"/>
          <w:spacing w:val="6"/>
          <w:sz w:val="32"/>
          <w:szCs w:val="32"/>
          <w:highlight w:val="none"/>
        </w:rPr>
        <w:t>②《中华人民共和国水污染防治法》（2017年修正）</w:t>
      </w:r>
    </w:p>
    <w:p>
      <w:pPr>
        <w:pStyle w:val="17"/>
        <w:snapToGrid w:val="0"/>
        <w:spacing w:line="570" w:lineRule="exact"/>
        <w:ind w:firstLine="664"/>
        <w:textAlignment w:val="baseline"/>
        <w:rPr>
          <w:rFonts w:hint="eastAsia" w:ascii="方正仿宋_GBK" w:hAnsi="方正仿宋_GBK" w:eastAsia="方正仿宋_GBK" w:cs="方正仿宋_GBK"/>
          <w:spacing w:val="6"/>
          <w:sz w:val="32"/>
          <w:szCs w:val="32"/>
          <w:highlight w:val="none"/>
        </w:rPr>
      </w:pPr>
      <w:r>
        <w:rPr>
          <w:rFonts w:hint="eastAsia" w:ascii="方正仿宋_GBK" w:hAnsi="方正仿宋_GBK" w:eastAsia="方正仿宋_GBK" w:cs="方正仿宋_GBK"/>
          <w:spacing w:val="6"/>
          <w:sz w:val="32"/>
          <w:szCs w:val="32"/>
          <w:highlight w:val="none"/>
          <w:lang w:eastAsia="zh-CN"/>
        </w:rPr>
        <w:t>（</w:t>
      </w:r>
      <w:r>
        <w:rPr>
          <w:rFonts w:hint="eastAsia" w:ascii="方正仿宋_GBK" w:hAnsi="方正仿宋_GBK" w:eastAsia="方正仿宋_GBK" w:cs="方正仿宋_GBK"/>
          <w:spacing w:val="6"/>
          <w:sz w:val="32"/>
          <w:szCs w:val="32"/>
          <w:highlight w:val="none"/>
          <w:lang w:val="en-US" w:eastAsia="zh-CN"/>
        </w:rPr>
        <w:t>2</w:t>
      </w:r>
      <w:r>
        <w:rPr>
          <w:rFonts w:hint="eastAsia" w:ascii="方正仿宋_GBK" w:hAnsi="方正仿宋_GBK" w:eastAsia="方正仿宋_GBK" w:cs="方正仿宋_GBK"/>
          <w:spacing w:val="6"/>
          <w:sz w:val="32"/>
          <w:szCs w:val="32"/>
          <w:highlight w:val="none"/>
          <w:lang w:eastAsia="zh-CN"/>
        </w:rPr>
        <w:t>）</w:t>
      </w:r>
      <w:r>
        <w:rPr>
          <w:rFonts w:hint="eastAsia" w:ascii="方正仿宋_GBK" w:hAnsi="方正仿宋_GBK" w:eastAsia="方正仿宋_GBK" w:cs="方正仿宋_GBK"/>
          <w:spacing w:val="6"/>
          <w:sz w:val="32"/>
          <w:szCs w:val="32"/>
          <w:highlight w:val="none"/>
        </w:rPr>
        <w:t>规范及标准</w:t>
      </w:r>
    </w:p>
    <w:p>
      <w:pPr>
        <w:pStyle w:val="17"/>
        <w:snapToGrid w:val="0"/>
        <w:spacing w:line="570" w:lineRule="exact"/>
        <w:ind w:firstLine="664"/>
        <w:textAlignment w:val="baseline"/>
        <w:rPr>
          <w:rFonts w:hint="eastAsia" w:ascii="方正仿宋_GBK" w:hAnsi="方正仿宋_GBK" w:eastAsia="方正仿宋_GBK" w:cs="方正仿宋_GBK"/>
          <w:spacing w:val="6"/>
          <w:sz w:val="32"/>
          <w:szCs w:val="32"/>
          <w:highlight w:val="none"/>
        </w:rPr>
      </w:pPr>
      <w:r>
        <w:rPr>
          <w:rFonts w:hint="eastAsia" w:ascii="方正仿宋_GBK" w:hAnsi="方正仿宋_GBK" w:eastAsia="方正仿宋_GBK" w:cs="方正仿宋_GBK"/>
          <w:spacing w:val="6"/>
          <w:sz w:val="32"/>
          <w:szCs w:val="32"/>
          <w:highlight w:val="none"/>
        </w:rPr>
        <w:t>①《村镇供水工程技术规范》SL310-2019；</w:t>
      </w:r>
    </w:p>
    <w:p>
      <w:pPr>
        <w:pStyle w:val="17"/>
        <w:snapToGrid w:val="0"/>
        <w:spacing w:line="570" w:lineRule="exact"/>
        <w:ind w:firstLine="664"/>
        <w:textAlignment w:val="baseline"/>
        <w:rPr>
          <w:rFonts w:hint="eastAsia" w:ascii="方正仿宋_GBK" w:hAnsi="方正仿宋_GBK" w:eastAsia="方正仿宋_GBK" w:cs="方正仿宋_GBK"/>
          <w:spacing w:val="6"/>
          <w:sz w:val="32"/>
          <w:szCs w:val="32"/>
          <w:highlight w:val="none"/>
        </w:rPr>
      </w:pPr>
      <w:r>
        <w:rPr>
          <w:rFonts w:hint="eastAsia" w:ascii="方正仿宋_GBK" w:hAnsi="方正仿宋_GBK" w:eastAsia="方正仿宋_GBK" w:cs="方正仿宋_GBK"/>
          <w:spacing w:val="6"/>
          <w:sz w:val="32"/>
          <w:szCs w:val="32"/>
          <w:highlight w:val="none"/>
        </w:rPr>
        <w:t>②《农村饮水安全工程实施方案编制规程》SL559-2011；</w:t>
      </w:r>
    </w:p>
    <w:p>
      <w:pPr>
        <w:pStyle w:val="17"/>
        <w:snapToGrid w:val="0"/>
        <w:spacing w:line="570" w:lineRule="exact"/>
        <w:ind w:firstLine="664"/>
        <w:textAlignment w:val="baseline"/>
        <w:rPr>
          <w:rFonts w:hint="eastAsia" w:ascii="方正仿宋_GBK" w:hAnsi="方正仿宋_GBK" w:eastAsia="方正仿宋_GBK" w:cs="方正仿宋_GBK"/>
          <w:spacing w:val="6"/>
          <w:sz w:val="32"/>
          <w:szCs w:val="32"/>
          <w:highlight w:val="none"/>
        </w:rPr>
      </w:pPr>
      <w:r>
        <w:rPr>
          <w:rFonts w:hint="eastAsia" w:ascii="方正仿宋_GBK" w:hAnsi="方正仿宋_GBK" w:eastAsia="方正仿宋_GBK" w:cs="方正仿宋_GBK"/>
          <w:spacing w:val="6"/>
          <w:sz w:val="32"/>
          <w:szCs w:val="32"/>
          <w:highlight w:val="none"/>
        </w:rPr>
        <w:t>③《水利水电工程等级划分及洪水标准》SL252—2017</w:t>
      </w:r>
    </w:p>
    <w:p>
      <w:pPr>
        <w:pStyle w:val="17"/>
        <w:snapToGrid w:val="0"/>
        <w:spacing w:line="570" w:lineRule="exact"/>
        <w:ind w:firstLine="664"/>
        <w:textAlignment w:val="baseline"/>
        <w:rPr>
          <w:rFonts w:hint="eastAsia" w:ascii="方正仿宋_GBK" w:hAnsi="方正仿宋_GBK" w:eastAsia="方正仿宋_GBK" w:cs="方正仿宋_GBK"/>
          <w:spacing w:val="6"/>
          <w:sz w:val="32"/>
          <w:szCs w:val="32"/>
          <w:highlight w:val="none"/>
        </w:rPr>
      </w:pPr>
      <w:r>
        <w:rPr>
          <w:rFonts w:hint="eastAsia" w:ascii="方正仿宋_GBK" w:hAnsi="方正仿宋_GBK" w:eastAsia="方正仿宋_GBK" w:cs="方正仿宋_GBK"/>
          <w:spacing w:val="6"/>
          <w:sz w:val="32"/>
          <w:szCs w:val="32"/>
          <w:highlight w:val="none"/>
        </w:rPr>
        <w:t>④《水利水电工程合理使用年限及耐久性设计规范》SL654-2014</w:t>
      </w:r>
    </w:p>
    <w:p>
      <w:pPr>
        <w:pStyle w:val="17"/>
        <w:snapToGrid w:val="0"/>
        <w:spacing w:line="570" w:lineRule="exact"/>
        <w:ind w:firstLine="664"/>
        <w:textAlignment w:val="baseline"/>
        <w:rPr>
          <w:rFonts w:hint="eastAsia" w:ascii="方正仿宋_GBK" w:hAnsi="方正仿宋_GBK" w:eastAsia="方正仿宋_GBK" w:cs="方正仿宋_GBK"/>
          <w:spacing w:val="6"/>
          <w:sz w:val="32"/>
          <w:szCs w:val="32"/>
          <w:highlight w:val="none"/>
        </w:rPr>
      </w:pPr>
      <w:r>
        <w:rPr>
          <w:rFonts w:hint="eastAsia" w:ascii="方正仿宋_GBK" w:hAnsi="方正仿宋_GBK" w:eastAsia="方正仿宋_GBK" w:cs="方正仿宋_GBK"/>
          <w:spacing w:val="6"/>
          <w:sz w:val="32"/>
          <w:szCs w:val="32"/>
          <w:highlight w:val="none"/>
        </w:rPr>
        <w:t>⑤《生活饮用水卫生标准》GB5749-2022</w:t>
      </w:r>
    </w:p>
    <w:p>
      <w:pPr>
        <w:pStyle w:val="17"/>
        <w:snapToGrid w:val="0"/>
        <w:spacing w:line="570" w:lineRule="exact"/>
        <w:ind w:firstLine="664"/>
        <w:textAlignment w:val="baseline"/>
        <w:rPr>
          <w:rFonts w:hint="eastAsia" w:ascii="方正仿宋_GBK" w:hAnsi="方正仿宋_GBK" w:eastAsia="方正仿宋_GBK" w:cs="方正仿宋_GBK"/>
          <w:spacing w:val="6"/>
          <w:sz w:val="32"/>
          <w:szCs w:val="32"/>
          <w:highlight w:val="none"/>
        </w:rPr>
      </w:pPr>
      <w:r>
        <w:rPr>
          <w:rFonts w:hint="eastAsia" w:ascii="方正仿宋_GBK" w:hAnsi="方正仿宋_GBK" w:eastAsia="方正仿宋_GBK" w:cs="方正仿宋_GBK"/>
          <w:spacing w:val="6"/>
          <w:sz w:val="32"/>
          <w:szCs w:val="32"/>
          <w:highlight w:val="none"/>
        </w:rPr>
        <w:t>⑥《给水用聚乙烯(PE)管道系统第2部分：管材》GB/T13663.2-2018</w:t>
      </w:r>
    </w:p>
    <w:p>
      <w:pPr>
        <w:pStyle w:val="17"/>
        <w:snapToGrid w:val="0"/>
        <w:spacing w:line="570" w:lineRule="exact"/>
        <w:ind w:firstLine="664"/>
        <w:textAlignment w:val="baseline"/>
        <w:rPr>
          <w:rFonts w:hint="eastAsia" w:ascii="方正仿宋_GBK" w:hAnsi="方正仿宋_GBK" w:eastAsia="方正仿宋_GBK" w:cs="方正仿宋_GBK"/>
          <w:spacing w:val="6"/>
          <w:sz w:val="32"/>
          <w:szCs w:val="32"/>
          <w:highlight w:val="none"/>
        </w:rPr>
      </w:pPr>
      <w:r>
        <w:rPr>
          <w:rFonts w:hint="eastAsia" w:ascii="方正仿宋_GBK" w:hAnsi="方正仿宋_GBK" w:eastAsia="方正仿宋_GBK" w:cs="方正仿宋_GBK"/>
          <w:spacing w:val="6"/>
          <w:sz w:val="32"/>
          <w:szCs w:val="32"/>
          <w:highlight w:val="none"/>
        </w:rPr>
        <w:t>⑦《给水用聚乙烯(PE)管道系统第3部分：管件》GB/T13663.3-2018</w:t>
      </w:r>
    </w:p>
    <w:p>
      <w:pPr>
        <w:pStyle w:val="17"/>
        <w:snapToGrid w:val="0"/>
        <w:spacing w:line="570" w:lineRule="exact"/>
        <w:ind w:firstLine="664"/>
        <w:textAlignment w:val="baseline"/>
        <w:rPr>
          <w:rFonts w:hint="eastAsia" w:ascii="方正仿宋_GBK" w:hAnsi="方正仿宋_GBK" w:eastAsia="方正仿宋_GBK" w:cs="方正仿宋_GBK"/>
          <w:spacing w:val="6"/>
          <w:sz w:val="32"/>
          <w:szCs w:val="32"/>
          <w:highlight w:val="none"/>
        </w:rPr>
      </w:pPr>
      <w:r>
        <w:rPr>
          <w:rFonts w:hint="eastAsia" w:ascii="方正仿宋_GBK" w:hAnsi="方正仿宋_GBK" w:eastAsia="方正仿宋_GBK" w:cs="方正仿宋_GBK"/>
          <w:spacing w:val="6"/>
          <w:sz w:val="32"/>
          <w:szCs w:val="32"/>
          <w:highlight w:val="none"/>
        </w:rPr>
        <w:t>⑧《供水系统用弹性密封闸阀》GB/T24924-2010</w:t>
      </w:r>
    </w:p>
    <w:p>
      <w:pPr>
        <w:pStyle w:val="17"/>
        <w:snapToGrid w:val="0"/>
        <w:spacing w:line="570" w:lineRule="exact"/>
        <w:ind w:firstLine="664"/>
        <w:textAlignment w:val="baseline"/>
        <w:rPr>
          <w:rFonts w:hint="eastAsia" w:ascii="方正仿宋_GBK" w:hAnsi="方正仿宋_GBK" w:eastAsia="方正仿宋_GBK" w:cs="方正仿宋_GBK"/>
          <w:spacing w:val="6"/>
          <w:sz w:val="32"/>
          <w:szCs w:val="32"/>
          <w:highlight w:val="none"/>
        </w:rPr>
      </w:pPr>
      <w:r>
        <w:rPr>
          <w:rFonts w:hint="eastAsia" w:ascii="方正仿宋_GBK" w:hAnsi="方正仿宋_GBK" w:eastAsia="方正仿宋_GBK" w:cs="方正仿宋_GBK"/>
          <w:spacing w:val="6"/>
          <w:sz w:val="32"/>
          <w:szCs w:val="32"/>
          <w:highlight w:val="none"/>
        </w:rPr>
        <w:t>⑨《水平定向钻法管道穿越工程技术规范》CECS382:2014</w:t>
      </w:r>
    </w:p>
    <w:p>
      <w:pPr>
        <w:pStyle w:val="17"/>
        <w:snapToGrid w:val="0"/>
        <w:spacing w:line="570" w:lineRule="exact"/>
        <w:ind w:firstLine="664"/>
        <w:textAlignment w:val="baseline"/>
        <w:rPr>
          <w:rFonts w:hint="eastAsia" w:ascii="方正仿宋_GBK" w:hAnsi="方正仿宋_GBK" w:eastAsia="方正仿宋_GBK" w:cs="方正仿宋_GBK"/>
          <w:spacing w:val="6"/>
          <w:sz w:val="32"/>
          <w:szCs w:val="32"/>
          <w:highlight w:val="none"/>
        </w:rPr>
      </w:pPr>
      <w:r>
        <w:rPr>
          <w:rFonts w:hint="eastAsia" w:ascii="方正仿宋_GBK" w:hAnsi="方正仿宋_GBK" w:eastAsia="方正仿宋_GBK" w:cs="方正仿宋_GBK"/>
          <w:spacing w:val="6"/>
          <w:sz w:val="32"/>
          <w:szCs w:val="32"/>
          <w:highlight w:val="none"/>
        </w:rPr>
        <w:t>⑩《给水排水管道工程施工及验收规范》GB50268-2008</w:t>
      </w:r>
    </w:p>
    <w:p>
      <w:pPr>
        <w:pStyle w:val="17"/>
        <w:snapToGrid w:val="0"/>
        <w:spacing w:line="570" w:lineRule="exact"/>
        <w:ind w:firstLine="664"/>
        <w:textAlignment w:val="baseline"/>
        <w:rPr>
          <w:rFonts w:hint="eastAsia" w:ascii="方正仿宋_GBK" w:hAnsi="方正仿宋_GBK" w:eastAsia="方正仿宋_GBK" w:cs="方正仿宋_GBK"/>
          <w:spacing w:val="6"/>
          <w:sz w:val="32"/>
          <w:szCs w:val="32"/>
          <w:highlight w:val="none"/>
        </w:rPr>
      </w:pPr>
      <w:r>
        <w:rPr>
          <w:rFonts w:hint="eastAsia" w:ascii="方正仿宋_GBK" w:hAnsi="方正仿宋_GBK" w:eastAsia="方正仿宋_GBK" w:cs="方正仿宋_GBK"/>
          <w:spacing w:val="6"/>
          <w:sz w:val="32"/>
          <w:szCs w:val="32"/>
          <w:highlight w:val="none"/>
          <w:lang w:eastAsia="zh-CN"/>
        </w:rPr>
        <w:t>（</w:t>
      </w:r>
      <w:r>
        <w:rPr>
          <w:rFonts w:hint="eastAsia" w:ascii="方正仿宋_GBK" w:hAnsi="方正仿宋_GBK" w:eastAsia="方正仿宋_GBK" w:cs="方正仿宋_GBK"/>
          <w:spacing w:val="6"/>
          <w:sz w:val="32"/>
          <w:szCs w:val="32"/>
          <w:highlight w:val="none"/>
          <w:lang w:val="en-US" w:eastAsia="zh-CN"/>
        </w:rPr>
        <w:t>3</w:t>
      </w:r>
      <w:r>
        <w:rPr>
          <w:rFonts w:hint="eastAsia" w:ascii="方正仿宋_GBK" w:hAnsi="方正仿宋_GBK" w:eastAsia="方正仿宋_GBK" w:cs="方正仿宋_GBK"/>
          <w:spacing w:val="6"/>
          <w:sz w:val="32"/>
          <w:szCs w:val="32"/>
          <w:highlight w:val="none"/>
          <w:lang w:eastAsia="zh-CN"/>
        </w:rPr>
        <w:t>）</w:t>
      </w:r>
      <w:r>
        <w:rPr>
          <w:rFonts w:hint="eastAsia" w:ascii="方正仿宋_GBK" w:hAnsi="方正仿宋_GBK" w:eastAsia="方正仿宋_GBK" w:cs="方正仿宋_GBK"/>
          <w:spacing w:val="6"/>
          <w:sz w:val="32"/>
          <w:szCs w:val="32"/>
          <w:highlight w:val="none"/>
        </w:rPr>
        <w:t>参考资料</w:t>
      </w:r>
    </w:p>
    <w:p>
      <w:pPr>
        <w:pStyle w:val="17"/>
        <w:snapToGrid w:val="0"/>
        <w:spacing w:line="570" w:lineRule="exact"/>
        <w:ind w:firstLine="664"/>
        <w:textAlignment w:val="baseline"/>
        <w:rPr>
          <w:rFonts w:hint="eastAsia" w:ascii="方正仿宋_GBK" w:hAnsi="方正仿宋_GBK" w:eastAsia="方正仿宋_GBK" w:cs="方正仿宋_GBK"/>
          <w:spacing w:val="6"/>
          <w:sz w:val="32"/>
          <w:szCs w:val="32"/>
          <w:highlight w:val="none"/>
        </w:rPr>
      </w:pPr>
      <w:r>
        <w:rPr>
          <w:rFonts w:hint="eastAsia" w:ascii="方正仿宋_GBK" w:hAnsi="方正仿宋_GBK" w:eastAsia="方正仿宋_GBK" w:cs="方正仿宋_GBK"/>
          <w:spacing w:val="6"/>
          <w:sz w:val="32"/>
          <w:szCs w:val="32"/>
          <w:highlight w:val="none"/>
        </w:rPr>
        <w:t>①《麦盖提县 “十四五”农村供水保障规划》；</w:t>
      </w:r>
    </w:p>
    <w:p>
      <w:pPr>
        <w:pStyle w:val="17"/>
        <w:snapToGrid w:val="0"/>
        <w:spacing w:line="570" w:lineRule="exact"/>
        <w:ind w:firstLine="664"/>
        <w:textAlignment w:val="baseline"/>
        <w:rPr>
          <w:rFonts w:hint="eastAsia" w:ascii="方正仿宋_GBK" w:hAnsi="方正仿宋_GBK" w:eastAsia="方正仿宋_GBK" w:cs="方正仿宋_GBK"/>
          <w:spacing w:val="6"/>
          <w:sz w:val="32"/>
          <w:szCs w:val="32"/>
          <w:highlight w:val="none"/>
        </w:rPr>
      </w:pPr>
      <w:r>
        <w:rPr>
          <w:rFonts w:hint="eastAsia" w:ascii="方正仿宋_GBK" w:hAnsi="方正仿宋_GBK" w:eastAsia="方正仿宋_GBK" w:cs="方正仿宋_GBK"/>
          <w:spacing w:val="6"/>
          <w:sz w:val="32"/>
          <w:szCs w:val="32"/>
          <w:highlight w:val="none"/>
        </w:rPr>
        <w:t>②《麦盖提县央塔克乡、昂格特勒克乡农村饮水安全巩固提升工程》2018年12月；</w:t>
      </w:r>
    </w:p>
    <w:p>
      <w:pPr>
        <w:pStyle w:val="17"/>
        <w:snapToGrid w:val="0"/>
        <w:spacing w:line="570" w:lineRule="exact"/>
        <w:ind w:firstLine="664"/>
        <w:textAlignment w:val="baseline"/>
        <w:rPr>
          <w:rFonts w:hint="eastAsia" w:ascii="方正仿宋_GBK" w:hAnsi="方正仿宋_GBK" w:eastAsia="方正仿宋_GBK" w:cs="方正仿宋_GBK"/>
          <w:spacing w:val="6"/>
          <w:sz w:val="32"/>
          <w:szCs w:val="32"/>
          <w:highlight w:val="none"/>
        </w:rPr>
      </w:pPr>
      <w:r>
        <w:rPr>
          <w:rFonts w:hint="eastAsia" w:ascii="方正仿宋_GBK" w:hAnsi="方正仿宋_GBK" w:eastAsia="方正仿宋_GBK" w:cs="方正仿宋_GBK"/>
          <w:spacing w:val="6"/>
          <w:sz w:val="32"/>
          <w:szCs w:val="32"/>
          <w:highlight w:val="none"/>
        </w:rPr>
        <w:t>③《麦盖提县城乡供水一体化工程可行性研究报告》2022年1月；</w:t>
      </w:r>
    </w:p>
    <w:p>
      <w:pPr>
        <w:pStyle w:val="17"/>
        <w:snapToGrid w:val="0"/>
        <w:spacing w:line="570" w:lineRule="exact"/>
        <w:ind w:firstLine="664"/>
        <w:textAlignment w:val="baseline"/>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spacing w:val="6"/>
          <w:sz w:val="32"/>
          <w:szCs w:val="32"/>
          <w:highlight w:val="none"/>
        </w:rPr>
        <w:t>国家及地方其他法律及规范。</w:t>
      </w:r>
      <w:r>
        <w:rPr>
          <w:rFonts w:hint="eastAsia" w:ascii="方正仿宋_GBK" w:hAnsi="方正仿宋_GBK" w:eastAsia="方正仿宋_GBK" w:cs="方正仿宋_GBK"/>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3.2建设内容、规模等明细资料</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 xml:space="preserve">3.2.1 建设规模 </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 xml:space="preserve">麦盖提县央塔克乡、昂格特勒克乡农村供水保障工程，建设总里程更换配水管道243.0km，新建配套闸阀井66座。 </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 xml:space="preserve">3.2.2 建设内容 </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更换配水管道243.0km（其中：DN315的2.195km，DN250的16.346km，DN200的10.766km，DN160的28.604km，DN110的20.406km，DN90的31.935km，DN75的89.495km，DN63的43.256km）；穿路383处、计1969m，穿渠59处、计603m；新建配套闸阀井66座（钢筋混凝土矩形阀门井31座，砖砌圆形阀门井35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4.投资概算和资金筹措</w:t>
      </w:r>
      <w:bookmarkEnd w:id="31"/>
      <w:bookmarkEnd w:id="32"/>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bookmarkStart w:id="33" w:name="_Toc6054"/>
      <w:bookmarkStart w:id="34" w:name="_Toc14256"/>
      <w:r>
        <w:rPr>
          <w:rFonts w:hint="eastAsia" w:ascii="方正楷体_GBK" w:hAnsi="方正楷体_GBK" w:eastAsia="方正楷体_GBK" w:cs="方正楷体_GBK"/>
          <w:b/>
          <w:bCs/>
          <w:color w:val="auto"/>
          <w:sz w:val="32"/>
          <w:szCs w:val="32"/>
          <w:highlight w:val="none"/>
          <w:lang w:val="en-US" w:eastAsia="zh-CN"/>
        </w:rPr>
        <w:t xml:space="preserve">4.1 投资概算 </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项目概算总投资3406.33万元，工程建设费用3110.70万元，基本预备费155.54万元，其他费用140.09万元。</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 xml:space="preserve">4.2 资金筹措 </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本项目投资估算总金额为3406.33万元，资金来源：</w:t>
      </w:r>
      <w:r>
        <w:rPr>
          <w:rFonts w:hint="eastAsia" w:ascii="方正仿宋_GBK" w:hAnsi="方正仿宋_GBK" w:eastAsia="方正仿宋_GBK" w:cs="方正仿宋_GBK"/>
          <w:i w:val="0"/>
          <w:iCs w:val="0"/>
          <w:sz w:val="32"/>
          <w:szCs w:val="32"/>
          <w:highlight w:val="none"/>
          <w:lang w:val="en-US" w:eastAsia="zh-CN"/>
        </w:rPr>
        <w:t>巩固拓展脱贫攻坚成果同乡村振兴有效衔接资金</w:t>
      </w:r>
      <w:r>
        <w:rPr>
          <w:rFonts w:hint="eastAsia" w:ascii="方正仿宋_GBK" w:hAnsi="方正仿宋_GBK" w:eastAsia="方正仿宋_GBK" w:cs="方正仿宋_GBK"/>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4.3资金使用和管理</w:t>
      </w:r>
      <w:bookmarkEnd w:id="33"/>
      <w:bookmarkEnd w:id="34"/>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bookmarkStart w:id="35" w:name="_Toc5264"/>
      <w:bookmarkStart w:id="36" w:name="_Toc9493"/>
      <w:r>
        <w:rPr>
          <w:rFonts w:hint="eastAsia" w:ascii="方正仿宋_GBK" w:hAnsi="方正仿宋_GBK" w:eastAsia="方正仿宋_GBK" w:cs="方正仿宋_GBK"/>
          <w:color w:val="auto"/>
          <w:kern w:val="2"/>
          <w:sz w:val="32"/>
          <w:szCs w:val="32"/>
          <w:highlight w:val="none"/>
          <w:lang w:val="en-US" w:eastAsia="zh-CN" w:bidi="ar-SA"/>
        </w:rPr>
        <w:t>根据《关于印发&lt;</w:t>
      </w:r>
      <w:bookmarkStart w:id="68" w:name="_GoBack"/>
      <w:bookmarkEnd w:id="68"/>
      <w:r>
        <w:rPr>
          <w:rFonts w:hint="eastAsia" w:ascii="方正仿宋_GBK" w:hAnsi="方正仿宋_GBK" w:eastAsia="方正仿宋_GBK" w:cs="方正仿宋_GBK"/>
          <w:color w:val="auto"/>
          <w:kern w:val="2"/>
          <w:sz w:val="32"/>
          <w:szCs w:val="32"/>
          <w:highlight w:val="none"/>
          <w:lang w:val="en-US" w:eastAsia="zh-CN" w:bidi="ar-SA"/>
        </w:rPr>
        <w:t>新疆维吾尔自治区财政衔接推进乡村振兴补助资金(巩固拓展脱贫攻坚成果和乡村振兴任务)项目管理办法(暂行)&gt;的通知》（新乡振〔2021〕32号）文件要求，为保质保量按时完成该项目，需实行目标管理责任制，明确领导小组各成员的职责，全面推行项目建设责任制、项目法人责任制，建立健全项目资产公开公示、定期巡查、绩效考核、结果反馈等检查机制，对项目经营运行、收益分配、后期管护等环节进行全程监督，保障项目资产安全有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5.项目实施保障措施</w:t>
      </w:r>
      <w:bookmarkEnd w:id="35"/>
      <w:bookmarkEnd w:id="36"/>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bookmarkStart w:id="37" w:name="_Toc21147"/>
      <w:bookmarkStart w:id="38" w:name="_Toc3539"/>
      <w:r>
        <w:rPr>
          <w:rFonts w:hint="eastAsia" w:ascii="方正楷体_GBK" w:hAnsi="方正楷体_GBK" w:eastAsia="方正楷体_GBK" w:cs="方正楷体_GBK"/>
          <w:b/>
          <w:bCs/>
          <w:color w:val="auto"/>
          <w:sz w:val="32"/>
          <w:szCs w:val="32"/>
          <w:highlight w:val="none"/>
          <w:lang w:val="en-US" w:eastAsia="zh-CN"/>
        </w:rPr>
        <w:t>5.1组织领导机构</w:t>
      </w:r>
      <w:bookmarkEnd w:id="37"/>
      <w:bookmarkEnd w:id="38"/>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为了保证项目能够顺利实施，保证质量按时完成，麦盖提县水利局作为项目主管单位、麦盖提县农村饮水服务站作为实施单位，成立了项目工作专班。领导小组如下：</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组长：李强</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副组长：林军</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成员：买合木提江·牙生、张云峰、杨波</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sz w:val="32"/>
          <w:szCs w:val="32"/>
          <w:highlight w:val="none"/>
          <w:lang w:val="en-US" w:eastAsia="zh-CN"/>
        </w:rPr>
        <w:t>领导小组下设办公室</w:t>
      </w:r>
      <w:r>
        <w:rPr>
          <w:rFonts w:hint="eastAsia" w:ascii="方正仿宋_GBK" w:hAnsi="方正仿宋_GBK" w:eastAsia="方正仿宋_GBK" w:cs="方正仿宋_GBK"/>
          <w:color w:val="auto"/>
          <w:kern w:val="2"/>
          <w:sz w:val="32"/>
          <w:szCs w:val="32"/>
          <w:highlight w:val="none"/>
          <w:lang w:val="en-US" w:eastAsia="zh-CN" w:bidi="ar-SA"/>
        </w:rPr>
        <w:t xml:space="preserve">，办公室主任由张云峰同志兼任，负责全面处理日常事务。 </w:t>
      </w:r>
    </w:p>
    <w:p>
      <w:pPr>
        <w:spacing w:line="570" w:lineRule="exact"/>
        <w:ind w:firstLine="664" w:firstLineChars="200"/>
        <w:rPr>
          <w:rFonts w:ascii="Times New Roman" w:hAnsi="Times New Roman" w:eastAsia="方正仿宋_GBK" w:cs="方正仿宋_GBK"/>
          <w:spacing w:val="6"/>
          <w:sz w:val="32"/>
          <w:szCs w:val="32"/>
          <w:highlight w:val="none"/>
        </w:rPr>
      </w:pPr>
      <w:bookmarkStart w:id="39" w:name="_Toc548"/>
      <w:bookmarkStart w:id="40" w:name="_Toc29738"/>
      <w:r>
        <w:rPr>
          <w:rFonts w:hint="eastAsia" w:ascii="Times New Roman" w:hAnsi="Times New Roman" w:eastAsia="方正仿宋_GBK" w:cs="方正仿宋_GBK"/>
          <w:spacing w:val="6"/>
          <w:sz w:val="32"/>
          <w:szCs w:val="32"/>
          <w:highlight w:val="none"/>
        </w:rPr>
        <w:t>专班组办公室主要职责：专班组办公室负责日常工作，确保该项目早开工、早建设、早完工，群众早受益。</w:t>
      </w:r>
    </w:p>
    <w:p>
      <w:pPr>
        <w:spacing w:line="570" w:lineRule="exact"/>
        <w:ind w:firstLine="664" w:firstLineChars="200"/>
        <w:rPr>
          <w:rFonts w:hint="eastAsia" w:ascii="Times New Roman" w:hAnsi="Times New Roman" w:eastAsia="方正仿宋_GBK" w:cs="方正仿宋_GBK"/>
          <w:spacing w:val="6"/>
          <w:sz w:val="32"/>
          <w:szCs w:val="32"/>
          <w:highlight w:val="none"/>
          <w:lang w:eastAsia="zh-CN"/>
        </w:rPr>
      </w:pPr>
      <w:r>
        <w:rPr>
          <w:rFonts w:hint="eastAsia" w:ascii="Times New Roman" w:hAnsi="Times New Roman" w:eastAsia="方正仿宋_GBK" w:cs="方正仿宋_GBK"/>
          <w:spacing w:val="6"/>
          <w:sz w:val="32"/>
          <w:szCs w:val="32"/>
          <w:highlight w:val="none"/>
        </w:rPr>
        <w:t>建立与县乡村振兴局</w:t>
      </w:r>
      <w:r>
        <w:rPr>
          <w:rFonts w:hint="eastAsia" w:ascii="Times New Roman" w:hAnsi="Times New Roman" w:eastAsia="方正仿宋_GBK" w:cs="方正仿宋_GBK"/>
          <w:spacing w:val="6"/>
          <w:sz w:val="32"/>
          <w:szCs w:val="32"/>
          <w:highlight w:val="none"/>
          <w:lang w:val="en-US" w:eastAsia="zh-CN"/>
        </w:rPr>
        <w:t>和</w:t>
      </w:r>
      <w:r>
        <w:rPr>
          <w:rFonts w:hint="eastAsia" w:ascii="Times New Roman" w:hAnsi="Times New Roman" w:eastAsia="方正仿宋_GBK" w:cs="方正仿宋_GBK"/>
          <w:spacing w:val="6"/>
          <w:sz w:val="32"/>
          <w:szCs w:val="32"/>
          <w:highlight w:val="none"/>
        </w:rPr>
        <w:t>交通运输等有关部门工作中的信息沟通和协调，配合完</w:t>
      </w:r>
      <w:r>
        <w:rPr>
          <w:rFonts w:hint="eastAsia" w:ascii="Times New Roman" w:hAnsi="Times New Roman" w:eastAsia="方正仿宋_GBK" w:cs="方正仿宋_GBK"/>
          <w:spacing w:val="6"/>
          <w:sz w:val="32"/>
          <w:szCs w:val="32"/>
          <w:highlight w:val="none"/>
          <w:lang w:val="en-US" w:eastAsia="zh-CN"/>
        </w:rPr>
        <w:t>成</w:t>
      </w:r>
      <w:r>
        <w:rPr>
          <w:rFonts w:hint="eastAsia" w:ascii="Times New Roman" w:hAnsi="Times New Roman" w:eastAsia="方正仿宋_GBK" w:cs="方正仿宋_GBK"/>
          <w:spacing w:val="6"/>
          <w:sz w:val="32"/>
          <w:szCs w:val="32"/>
          <w:highlight w:val="none"/>
        </w:rPr>
        <w:t>各项工作</w:t>
      </w:r>
      <w:r>
        <w:rPr>
          <w:rFonts w:hint="eastAsia" w:ascii="Times New Roman" w:hAnsi="Times New Roman" w:eastAsia="方正仿宋_GBK" w:cs="方正仿宋_GBK"/>
          <w:spacing w:val="6"/>
          <w:sz w:val="32"/>
          <w:szCs w:val="32"/>
          <w:highlight w:val="none"/>
          <w:lang w:eastAsia="zh-CN"/>
        </w:rPr>
        <w:t>；</w:t>
      </w:r>
      <w:r>
        <w:rPr>
          <w:rFonts w:hint="eastAsia" w:ascii="Times New Roman" w:hAnsi="Times New Roman" w:eastAsia="方正仿宋_GBK" w:cs="方正仿宋_GBK"/>
          <w:spacing w:val="6"/>
          <w:sz w:val="32"/>
          <w:szCs w:val="32"/>
          <w:highlight w:val="none"/>
        </w:rPr>
        <w:t>做好项目相关信息采集、整理、上报等工作</w:t>
      </w:r>
      <w:r>
        <w:rPr>
          <w:rFonts w:hint="eastAsia" w:ascii="Times New Roman" w:hAnsi="Times New Roman" w:eastAsia="方正仿宋_GBK" w:cs="方正仿宋_GBK"/>
          <w:spacing w:val="6"/>
          <w:sz w:val="32"/>
          <w:szCs w:val="32"/>
          <w:highlight w:val="none"/>
          <w:lang w:eastAsia="zh-CN"/>
        </w:rPr>
        <w:t>；</w:t>
      </w:r>
      <w:r>
        <w:rPr>
          <w:rFonts w:hint="eastAsia" w:ascii="Times New Roman" w:hAnsi="Times New Roman" w:eastAsia="方正仿宋_GBK" w:cs="方正仿宋_GBK"/>
          <w:spacing w:val="6"/>
          <w:sz w:val="32"/>
          <w:szCs w:val="32"/>
          <w:highlight w:val="none"/>
        </w:rPr>
        <w:t>负责协调解决项目实施过程中存在的具体问题</w:t>
      </w:r>
      <w:r>
        <w:rPr>
          <w:rFonts w:hint="eastAsia" w:ascii="Times New Roman" w:hAnsi="Times New Roman" w:eastAsia="方正仿宋_GBK" w:cs="方正仿宋_GBK"/>
          <w:spacing w:val="6"/>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5.2技术保障措施</w:t>
      </w:r>
      <w:bookmarkEnd w:id="39"/>
      <w:bookmarkEnd w:id="40"/>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Times New Roman" w:hAnsi="Times New Roman" w:eastAsia="方正仿宋_GBK" w:cs="方正仿宋_GBK"/>
          <w:spacing w:val="6"/>
          <w:kern w:val="2"/>
          <w:sz w:val="32"/>
          <w:szCs w:val="32"/>
          <w:highlight w:val="none"/>
          <w:lang w:val="en-US" w:eastAsia="zh-CN" w:bidi="ar-SA"/>
        </w:rPr>
        <w:t>本次工程项目区内供水管网更新改造，输配水管道已铺设完成，村内末端管网沿住宅铺设，线路唯一，本次工程按原管线改建。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bookmarkStart w:id="41" w:name="_Toc12124"/>
      <w:bookmarkStart w:id="42" w:name="_Toc13444"/>
      <w:r>
        <w:rPr>
          <w:rFonts w:hint="eastAsia" w:ascii="方正楷体_GBK" w:hAnsi="方正楷体_GBK" w:eastAsia="方正楷体_GBK" w:cs="方正楷体_GBK"/>
          <w:b/>
          <w:bCs/>
          <w:color w:val="auto"/>
          <w:sz w:val="32"/>
          <w:szCs w:val="32"/>
          <w:highlight w:val="none"/>
          <w:lang w:val="en-US" w:eastAsia="zh-CN"/>
        </w:rPr>
        <w:t>5.3项目管理、监督检查制度</w:t>
      </w:r>
      <w:bookmarkEnd w:id="41"/>
      <w:bookmarkEnd w:id="42"/>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color w:val="auto"/>
          <w:spacing w:val="6"/>
          <w:kern w:val="2"/>
          <w:sz w:val="32"/>
          <w:szCs w:val="32"/>
          <w:highlight w:val="none"/>
          <w:lang w:val="en-US" w:eastAsia="zh-CN" w:bidi="ar-SA"/>
        </w:rPr>
      </w:pPr>
      <w:bookmarkStart w:id="43" w:name="_Toc17751"/>
      <w:bookmarkStart w:id="44" w:name="_Toc24222"/>
      <w:r>
        <w:rPr>
          <w:rFonts w:hint="eastAsia" w:ascii="方正仿宋_GBK" w:hAnsi="方正仿宋_GBK" w:eastAsia="方正仿宋_GBK" w:cs="方正仿宋_GBK"/>
          <w:i w:val="0"/>
          <w:iCs w:val="0"/>
          <w:sz w:val="32"/>
          <w:szCs w:val="32"/>
          <w:highlight w:val="none"/>
        </w:rPr>
        <w:t>根据《关于印发</w:t>
      </w:r>
      <w:r>
        <w:rPr>
          <w:rFonts w:hint="eastAsia" w:ascii="方正仿宋_GBK" w:hAnsi="方正仿宋_GBK" w:eastAsia="方正仿宋_GBK" w:cs="方正仿宋_GBK"/>
          <w:i w:val="0"/>
          <w:iCs w:val="0"/>
          <w:sz w:val="32"/>
          <w:szCs w:val="32"/>
          <w:highlight w:val="none"/>
          <w:lang w:val="en-US" w:eastAsia="zh-CN"/>
        </w:rPr>
        <w:t>&lt;</w:t>
      </w:r>
      <w:r>
        <w:rPr>
          <w:rFonts w:hint="eastAsia" w:ascii="方正仿宋_GBK" w:hAnsi="方正仿宋_GBK" w:eastAsia="方正仿宋_GBK" w:cs="方正仿宋_GBK"/>
          <w:i w:val="0"/>
          <w:iCs w:val="0"/>
          <w:sz w:val="32"/>
          <w:szCs w:val="32"/>
          <w:highlight w:val="none"/>
          <w:lang w:eastAsia="zh-CN"/>
        </w:rPr>
        <w:t>新疆维吾尔自治区</w:t>
      </w:r>
      <w:r>
        <w:rPr>
          <w:rFonts w:hint="eastAsia" w:ascii="方正仿宋_GBK" w:hAnsi="方正仿宋_GBK" w:eastAsia="方正仿宋_GBK" w:cs="方正仿宋_GBK"/>
          <w:i w:val="0"/>
          <w:iCs w:val="0"/>
          <w:sz w:val="32"/>
          <w:szCs w:val="32"/>
          <w:highlight w:val="none"/>
        </w:rPr>
        <w:t>财政衔接推进乡村振兴补助资金(巩固拓展脱贫攻坚成果和乡村振兴任务)项目管理办法(暂行</w:t>
      </w:r>
      <w:r>
        <w:rPr>
          <w:rFonts w:hint="eastAsia" w:ascii="方正仿宋_GBK" w:hAnsi="方正仿宋_GBK" w:eastAsia="方正仿宋_GBK" w:cs="方正仿宋_GBK"/>
          <w:i w:val="0"/>
          <w:iCs w:val="0"/>
          <w:sz w:val="32"/>
          <w:szCs w:val="32"/>
          <w:highlight w:val="none"/>
          <w:lang w:val="en-US" w:eastAsia="zh-CN"/>
        </w:rPr>
        <w:t>)&gt;</w:t>
      </w:r>
      <w:r>
        <w:rPr>
          <w:rFonts w:hint="eastAsia" w:ascii="方正仿宋_GBK" w:hAnsi="方正仿宋_GBK" w:eastAsia="方正仿宋_GBK" w:cs="方正仿宋_GBK"/>
          <w:i w:val="0"/>
          <w:iCs w:val="0"/>
          <w:sz w:val="32"/>
          <w:szCs w:val="32"/>
          <w:highlight w:val="none"/>
        </w:rPr>
        <w:t>的通知》（新</w:t>
      </w:r>
      <w:r>
        <w:rPr>
          <w:rFonts w:hint="eastAsia" w:ascii="方正仿宋_GBK" w:hAnsi="方正仿宋_GBK" w:eastAsia="方正仿宋_GBK" w:cs="方正仿宋_GBK"/>
          <w:i w:val="0"/>
          <w:iCs w:val="0"/>
          <w:sz w:val="32"/>
          <w:szCs w:val="32"/>
          <w:highlight w:val="none"/>
          <w:lang w:eastAsia="zh-CN"/>
        </w:rPr>
        <w:t>乡振</w:t>
      </w:r>
      <w:r>
        <w:rPr>
          <w:rFonts w:hint="eastAsia" w:ascii="方正仿宋_GBK" w:hAnsi="方正仿宋_GBK" w:eastAsia="方正仿宋_GBK" w:cs="方正仿宋_GBK"/>
          <w:i w:val="0"/>
          <w:iCs w:val="0"/>
          <w:sz w:val="32"/>
          <w:szCs w:val="32"/>
          <w:highlight w:val="none"/>
        </w:rPr>
        <w:t>〔20</w:t>
      </w:r>
      <w:r>
        <w:rPr>
          <w:rFonts w:hint="eastAsia" w:ascii="方正仿宋_GBK" w:hAnsi="方正仿宋_GBK" w:eastAsia="方正仿宋_GBK" w:cs="方正仿宋_GBK"/>
          <w:i w:val="0"/>
          <w:iCs w:val="0"/>
          <w:sz w:val="32"/>
          <w:szCs w:val="32"/>
          <w:highlight w:val="none"/>
          <w:lang w:val="en-US" w:eastAsia="zh-CN"/>
        </w:rPr>
        <w:t>21</w:t>
      </w:r>
      <w:r>
        <w:rPr>
          <w:rFonts w:hint="eastAsia" w:ascii="方正仿宋_GBK" w:hAnsi="方正仿宋_GBK" w:eastAsia="方正仿宋_GBK" w:cs="方正仿宋_GBK"/>
          <w:i w:val="0"/>
          <w:iCs w:val="0"/>
          <w:sz w:val="32"/>
          <w:szCs w:val="32"/>
          <w:highlight w:val="none"/>
        </w:rPr>
        <w:t>〕</w:t>
      </w:r>
      <w:r>
        <w:rPr>
          <w:rFonts w:hint="eastAsia" w:ascii="方正仿宋_GBK" w:hAnsi="方正仿宋_GBK" w:eastAsia="方正仿宋_GBK" w:cs="方正仿宋_GBK"/>
          <w:i w:val="0"/>
          <w:iCs w:val="0"/>
          <w:sz w:val="32"/>
          <w:szCs w:val="32"/>
          <w:highlight w:val="none"/>
          <w:lang w:val="en-US" w:eastAsia="zh-CN"/>
        </w:rPr>
        <w:t>32</w:t>
      </w:r>
      <w:r>
        <w:rPr>
          <w:rFonts w:hint="eastAsia" w:ascii="方正仿宋_GBK" w:hAnsi="方正仿宋_GBK" w:eastAsia="方正仿宋_GBK" w:cs="方正仿宋_GBK"/>
          <w:i w:val="0"/>
          <w:iCs w:val="0"/>
          <w:sz w:val="32"/>
          <w:szCs w:val="32"/>
          <w:highlight w:val="none"/>
        </w:rPr>
        <w:t>号）文件</w:t>
      </w:r>
      <w:r>
        <w:rPr>
          <w:rFonts w:hint="eastAsia" w:ascii="方正仿宋_GBK" w:hAnsi="方正仿宋_GBK" w:eastAsia="方正仿宋_GBK" w:cs="方正仿宋_GBK"/>
          <w:i w:val="0"/>
          <w:iCs w:val="0"/>
          <w:sz w:val="32"/>
          <w:szCs w:val="32"/>
          <w:highlight w:val="none"/>
          <w:lang w:val="en-US" w:eastAsia="zh-CN"/>
        </w:rPr>
        <w:t>要求</w:t>
      </w:r>
      <w:r>
        <w:rPr>
          <w:rFonts w:hint="eastAsia" w:ascii="方正仿宋_GBK" w:hAnsi="方正仿宋_GBK" w:eastAsia="方正仿宋_GBK" w:cs="方正仿宋_GBK"/>
          <w:i w:val="0"/>
          <w:iCs w:val="0"/>
          <w:sz w:val="32"/>
          <w:szCs w:val="32"/>
          <w:highlight w:val="none"/>
          <w:lang w:eastAsia="zh-CN"/>
        </w:rPr>
        <w:t>，</w:t>
      </w:r>
      <w:r>
        <w:rPr>
          <w:rFonts w:hint="eastAsia" w:ascii="方正仿宋_GBK" w:hAnsi="方正仿宋_GBK" w:eastAsia="方正仿宋_GBK" w:cs="方正仿宋_GBK"/>
          <w:i w:val="0"/>
          <w:iCs w:val="0"/>
          <w:sz w:val="32"/>
          <w:szCs w:val="32"/>
          <w:highlight w:val="none"/>
        </w:rPr>
        <w:t>为保质保量按时完成该项目，需实行目标管理责任制，</w:t>
      </w:r>
      <w:r>
        <w:rPr>
          <w:rFonts w:hint="eastAsia" w:ascii="方正仿宋_GBK" w:hAnsi="方正仿宋_GBK" w:eastAsia="方正仿宋_GBK" w:cs="方正仿宋_GBK"/>
          <w:i w:val="0"/>
          <w:iCs w:val="0"/>
          <w:sz w:val="32"/>
          <w:szCs w:val="32"/>
          <w:highlight w:val="none"/>
          <w:lang w:val="en-US" w:eastAsia="zh-CN"/>
        </w:rPr>
        <w:t>在</w:t>
      </w:r>
      <w:r>
        <w:rPr>
          <w:rFonts w:hint="eastAsia" w:ascii="方正仿宋_GBK" w:hAnsi="方正仿宋_GBK" w:eastAsia="方正仿宋_GBK" w:cs="方正仿宋_GBK"/>
          <w:i w:val="0"/>
          <w:iCs w:val="0"/>
          <w:sz w:val="32"/>
          <w:szCs w:val="32"/>
          <w:highlight w:val="none"/>
        </w:rPr>
        <w:t>实施过程中严格按照进行管理和监督，确保保质保量的完成工作。领导小组是项目管理的第一责任主体，组长是第一责任人，全面负责资金和项目管理、绩效评价、监督检查等各项工作，为保质保量按时完成该项目，实行目标管理责任制，明确领导小组各成员的职责，全面推行项目建设责任制、项目法人责任制，建立健全扶贫资产公开公示、定期巡查、绩效考核、结果反馈等检查机制，对项目经营运行、收益分配、后期管护等环节进行全程监督，保障扶贫资产安全有效</w:t>
      </w:r>
      <w:r>
        <w:rPr>
          <w:rFonts w:hint="eastAsia" w:ascii="方正仿宋_GBK" w:hAnsi="方正仿宋_GBK" w:eastAsia="方正仿宋_GBK" w:cs="方正仿宋_GBK"/>
          <w:color w:val="auto"/>
          <w:spacing w:val="6"/>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5.4验收管理</w:t>
      </w:r>
      <w:bookmarkEnd w:id="43"/>
      <w:bookmarkEnd w:id="44"/>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bookmarkStart w:id="45" w:name="_Toc3858"/>
      <w:bookmarkStart w:id="46" w:name="_Toc30502"/>
      <w:r>
        <w:rPr>
          <w:rFonts w:hint="eastAsia" w:ascii="方正仿宋_GBK" w:hAnsi="方正仿宋_GBK" w:eastAsia="方正仿宋_GBK" w:cs="方正仿宋_GBK"/>
          <w:color w:val="auto"/>
          <w:kern w:val="2"/>
          <w:sz w:val="32"/>
          <w:szCs w:val="32"/>
          <w:highlight w:val="none"/>
          <w:lang w:val="en-US" w:eastAsia="zh-CN" w:bidi="ar-SA"/>
        </w:rPr>
        <w:t>遵照属地管理、“谁审批、谁验收”的原则，一是先由项目施工方向麦盖提县水利局申请；二是由麦盖提县水利局组织相关单位对项目建设内容进行验收；三是建立并完善项目档案。预计项目（工程）验收合格率预计可达100%。</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5.5运营模式和运营管理</w:t>
      </w:r>
      <w:bookmarkEnd w:id="45"/>
      <w:bookmarkEnd w:id="46"/>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bookmarkStart w:id="47" w:name="_Toc9412"/>
      <w:bookmarkStart w:id="48" w:name="_Toc23070"/>
      <w:r>
        <w:rPr>
          <w:rFonts w:hint="eastAsia" w:ascii="方正仿宋_GBK" w:hAnsi="方正仿宋_GBK" w:eastAsia="方正仿宋_GBK" w:cs="方正仿宋_GBK"/>
          <w:color w:val="auto"/>
          <w:kern w:val="2"/>
          <w:sz w:val="32"/>
          <w:szCs w:val="32"/>
          <w:highlight w:val="none"/>
          <w:lang w:val="en-US" w:eastAsia="zh-CN" w:bidi="ar-SA"/>
        </w:rPr>
        <w:t>根据麦盖提县农村供水工程运行管理暂行办法，制定各项管理制度和岗位责任制，做到有章可循，责任明确。</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麦盖提县农村饮水服务站在央塔克乡、昴格特勒克乡分别设立有农村供水站，负责供水工程的正常运行和供水设备、设施的完整，保护水源安全，供水到户，征收水费，维修、维护供水设备、设施等工作。</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为保证农村供水工程正常运行，不断改善农牧民的生活环境和条件，提高农牧民的防病抗病能力，促进农村经济的发展和社会稳定，项目所在乡安排一名领导，协助供水部门进行运行管理，协调改水、供水、收费环节中的各项管理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5.6利益联结机制</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FF0000"/>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 xml:space="preserve">工程建成后，受益农户可改善以往因，人畜争水而限制家庭养殖业的发展。人畜饮用水的治理，不但使农民身体健康得到保障，也促进了家庭联产承包责任制的实施，给畜牧业、农业及庭院经济的发展提供了可靠的保证；预计受益巩固脱贫人口不低于8578人。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6.项目实施进度</w:t>
      </w:r>
      <w:bookmarkEnd w:id="47"/>
      <w:bookmarkEnd w:id="48"/>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bookmarkStart w:id="49" w:name="_Toc27055"/>
      <w:bookmarkStart w:id="50" w:name="_Toc10549"/>
      <w:r>
        <w:rPr>
          <w:rFonts w:hint="eastAsia" w:ascii="方正楷体_GBK" w:hAnsi="方正楷体_GBK" w:eastAsia="方正楷体_GBK" w:cs="方正楷体_GBK"/>
          <w:b/>
          <w:bCs/>
          <w:color w:val="auto"/>
          <w:sz w:val="32"/>
          <w:szCs w:val="32"/>
          <w:highlight w:val="none"/>
          <w:lang w:val="en-US" w:eastAsia="zh-CN"/>
        </w:rPr>
        <w:t>6.1项目实施进度计划</w:t>
      </w:r>
      <w:bookmarkEnd w:id="49"/>
      <w:bookmarkEnd w:id="50"/>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根据路网现状、经济评价结果，推荐方案工程内容、建设规模、技术标准等，以及项目区域内地形、地质、水文条件和具体的场地建设条件，本项目的工程工期安排为4个月。</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 xml:space="preserve">2023年10月完成工程实施方案、施工图设计； </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2024年4月开工；</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方正仿宋_GBK" w:hAnsi="方正楷体简体" w:eastAsia="方正仿宋_GBK" w:cs="方正楷体简体"/>
          <w:sz w:val="32"/>
          <w:szCs w:val="32"/>
          <w:highlight w:val="none"/>
        </w:rPr>
      </w:pPr>
      <w:r>
        <w:rPr>
          <w:rFonts w:hint="eastAsia" w:ascii="方正仿宋_GBK" w:hAnsi="方正仿宋_GBK" w:eastAsia="方正仿宋_GBK" w:cs="方正仿宋_GBK"/>
          <w:color w:val="auto"/>
          <w:kern w:val="2"/>
          <w:sz w:val="32"/>
          <w:szCs w:val="32"/>
          <w:highlight w:val="none"/>
          <w:lang w:val="en-US" w:eastAsia="zh-CN" w:bidi="ar-SA"/>
        </w:rPr>
        <w:t>2024年7月完工，并于10月完成单位工程验收及审计结算等后续工作。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bookmarkStart w:id="51" w:name="_Toc5899"/>
      <w:bookmarkStart w:id="52" w:name="_Toc29061"/>
      <w:r>
        <w:rPr>
          <w:rFonts w:hint="eastAsia" w:ascii="方正楷体_GBK" w:hAnsi="方正楷体_GBK" w:eastAsia="方正楷体_GBK" w:cs="方正楷体_GBK"/>
          <w:b/>
          <w:bCs/>
          <w:color w:val="auto"/>
          <w:sz w:val="32"/>
          <w:szCs w:val="32"/>
          <w:highlight w:val="none"/>
          <w:lang w:val="en-US" w:eastAsia="zh-CN"/>
        </w:rPr>
        <w:t>6.2招标方案</w:t>
      </w:r>
      <w:bookmarkEnd w:id="51"/>
      <w:bookmarkEnd w:id="52"/>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 xml:space="preserve">该项目的设计、施工、监理等活动全部进行招标。 </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 xml:space="preserve">该建设项目的招标组织形式拟采用委托招标，即由建设单位委托第三方组织招标活动。 </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该建设项目的设计、施工、监理等拟采用委托招标方式。拟建农村供水保障工程招标基本情况见表</w:t>
      </w:r>
    </w:p>
    <w:p>
      <w:pPr>
        <w:spacing w:before="86" w:line="222" w:lineRule="auto"/>
        <w:ind w:right="372"/>
        <w:jc w:val="center"/>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pacing w:val="-1"/>
          <w:sz w:val="24"/>
          <w:szCs w:val="24"/>
          <w:highlight w:val="none"/>
          <w14:textOutline w14:w="4354" w14:cap="flat" w14:cmpd="sng">
            <w14:solidFill>
              <w14:srgbClr w14:val="000000"/>
            </w14:solidFill>
            <w14:prstDash w14:val="solid"/>
            <w14:miter w14:val="0"/>
          </w14:textOutline>
        </w:rPr>
        <w:t>招</w:t>
      </w:r>
      <w:r>
        <w:rPr>
          <w:rFonts w:hint="eastAsia" w:ascii="方正仿宋_GBK" w:hAnsi="方正仿宋_GBK" w:eastAsia="方正仿宋_GBK" w:cs="方正仿宋_GBK"/>
          <w:spacing w:val="-1"/>
          <w:sz w:val="24"/>
          <w:szCs w:val="24"/>
          <w:highlight w:val="none"/>
        </w:rPr>
        <w:t xml:space="preserve">  </w:t>
      </w:r>
      <w:r>
        <w:rPr>
          <w:rFonts w:hint="eastAsia" w:ascii="方正仿宋_GBK" w:hAnsi="方正仿宋_GBK" w:eastAsia="方正仿宋_GBK" w:cs="方正仿宋_GBK"/>
          <w:spacing w:val="-1"/>
          <w:sz w:val="24"/>
          <w:szCs w:val="24"/>
          <w:highlight w:val="none"/>
          <w14:textOutline w14:w="4354" w14:cap="flat" w14:cmpd="sng">
            <w14:solidFill>
              <w14:srgbClr w14:val="000000"/>
            </w14:solidFill>
            <w14:prstDash w14:val="solid"/>
            <w14:miter w14:val="0"/>
          </w14:textOutline>
        </w:rPr>
        <w:t>标</w:t>
      </w:r>
      <w:r>
        <w:rPr>
          <w:rFonts w:hint="eastAsia" w:ascii="方正仿宋_GBK" w:hAnsi="方正仿宋_GBK" w:eastAsia="方正仿宋_GBK" w:cs="方正仿宋_GBK"/>
          <w:spacing w:val="-1"/>
          <w:sz w:val="24"/>
          <w:szCs w:val="24"/>
          <w:highlight w:val="none"/>
        </w:rPr>
        <w:t xml:space="preserve">  </w:t>
      </w:r>
      <w:r>
        <w:rPr>
          <w:rFonts w:hint="eastAsia" w:ascii="方正仿宋_GBK" w:hAnsi="方正仿宋_GBK" w:eastAsia="方正仿宋_GBK" w:cs="方正仿宋_GBK"/>
          <w:spacing w:val="-1"/>
          <w:sz w:val="24"/>
          <w:szCs w:val="24"/>
          <w:highlight w:val="none"/>
          <w14:textOutline w14:w="4354" w14:cap="flat" w14:cmpd="sng">
            <w14:solidFill>
              <w14:srgbClr w14:val="000000"/>
            </w14:solidFill>
            <w14:prstDash w14:val="solid"/>
            <w14:miter w14:val="0"/>
          </w14:textOutline>
        </w:rPr>
        <w:t>基</w:t>
      </w:r>
      <w:r>
        <w:rPr>
          <w:rFonts w:hint="eastAsia" w:ascii="方正仿宋_GBK" w:hAnsi="方正仿宋_GBK" w:eastAsia="方正仿宋_GBK" w:cs="方正仿宋_GBK"/>
          <w:spacing w:val="-1"/>
          <w:sz w:val="24"/>
          <w:szCs w:val="24"/>
          <w:highlight w:val="none"/>
        </w:rPr>
        <w:t xml:space="preserve">  </w:t>
      </w:r>
      <w:r>
        <w:rPr>
          <w:rFonts w:hint="eastAsia" w:ascii="方正仿宋_GBK" w:hAnsi="方正仿宋_GBK" w:eastAsia="方正仿宋_GBK" w:cs="方正仿宋_GBK"/>
          <w:spacing w:val="-1"/>
          <w:sz w:val="24"/>
          <w:szCs w:val="24"/>
          <w:highlight w:val="none"/>
          <w14:textOutline w14:w="4354" w14:cap="flat" w14:cmpd="sng">
            <w14:solidFill>
              <w14:srgbClr w14:val="000000"/>
            </w14:solidFill>
            <w14:prstDash w14:val="solid"/>
            <w14:miter w14:val="0"/>
          </w14:textOutline>
        </w:rPr>
        <w:t>本</w:t>
      </w:r>
      <w:r>
        <w:rPr>
          <w:rFonts w:hint="eastAsia" w:ascii="方正仿宋_GBK" w:hAnsi="方正仿宋_GBK" w:eastAsia="方正仿宋_GBK" w:cs="方正仿宋_GBK"/>
          <w:spacing w:val="-1"/>
          <w:sz w:val="24"/>
          <w:szCs w:val="24"/>
          <w:highlight w:val="none"/>
        </w:rPr>
        <w:t xml:space="preserve">  </w:t>
      </w:r>
      <w:r>
        <w:rPr>
          <w:rFonts w:hint="eastAsia" w:ascii="方正仿宋_GBK" w:hAnsi="方正仿宋_GBK" w:eastAsia="方正仿宋_GBK" w:cs="方正仿宋_GBK"/>
          <w:spacing w:val="-1"/>
          <w:sz w:val="24"/>
          <w:szCs w:val="24"/>
          <w:highlight w:val="none"/>
          <w14:textOutline w14:w="4354" w14:cap="flat" w14:cmpd="sng">
            <w14:solidFill>
              <w14:srgbClr w14:val="000000"/>
            </w14:solidFill>
            <w14:prstDash w14:val="solid"/>
            <w14:miter w14:val="0"/>
          </w14:textOutline>
        </w:rPr>
        <w:t>情</w:t>
      </w:r>
      <w:r>
        <w:rPr>
          <w:rFonts w:hint="eastAsia" w:ascii="方正仿宋_GBK" w:hAnsi="方正仿宋_GBK" w:eastAsia="方正仿宋_GBK" w:cs="方正仿宋_GBK"/>
          <w:spacing w:val="-1"/>
          <w:sz w:val="24"/>
          <w:szCs w:val="24"/>
          <w:highlight w:val="none"/>
        </w:rPr>
        <w:t xml:space="preserve">  </w:t>
      </w:r>
      <w:r>
        <w:rPr>
          <w:rFonts w:hint="eastAsia" w:ascii="方正仿宋_GBK" w:hAnsi="方正仿宋_GBK" w:eastAsia="方正仿宋_GBK" w:cs="方正仿宋_GBK"/>
          <w:spacing w:val="-1"/>
          <w:sz w:val="24"/>
          <w:szCs w:val="24"/>
          <w:highlight w:val="none"/>
          <w14:textOutline w14:w="4354" w14:cap="flat" w14:cmpd="sng">
            <w14:solidFill>
              <w14:srgbClr w14:val="000000"/>
            </w14:solidFill>
            <w14:prstDash w14:val="solid"/>
            <w14:miter w14:val="0"/>
          </w14:textOutline>
        </w:rPr>
        <w:t>况</w:t>
      </w:r>
      <w:r>
        <w:rPr>
          <w:rFonts w:hint="eastAsia" w:ascii="方正仿宋_GBK" w:hAnsi="方正仿宋_GBK" w:eastAsia="方正仿宋_GBK" w:cs="方正仿宋_GBK"/>
          <w:spacing w:val="-1"/>
          <w:sz w:val="24"/>
          <w:szCs w:val="24"/>
          <w:highlight w:val="none"/>
        </w:rPr>
        <w:t xml:space="preserve">  </w:t>
      </w:r>
      <w:r>
        <w:rPr>
          <w:rFonts w:hint="eastAsia" w:ascii="方正仿宋_GBK" w:hAnsi="方正仿宋_GBK" w:eastAsia="方正仿宋_GBK" w:cs="方正仿宋_GBK"/>
          <w:spacing w:val="-1"/>
          <w:sz w:val="24"/>
          <w:szCs w:val="24"/>
          <w:highlight w:val="none"/>
          <w14:textOutline w14:w="4354" w14:cap="flat" w14:cmpd="sng">
            <w14:solidFill>
              <w14:srgbClr w14:val="000000"/>
            </w14:solidFill>
            <w14:prstDash w14:val="solid"/>
            <w14:miter w14:val="0"/>
          </w14:textOutline>
        </w:rPr>
        <w:t>表</w:t>
      </w:r>
    </w:p>
    <w:p>
      <w:pPr>
        <w:spacing w:line="37" w:lineRule="exact"/>
        <w:rPr>
          <w:rFonts w:hint="eastAsia" w:ascii="方正仿宋_GBK" w:hAnsi="方正仿宋_GBK" w:eastAsia="方正仿宋_GBK" w:cs="方正仿宋_GBK"/>
          <w:highlight w:val="none"/>
        </w:rPr>
      </w:pPr>
    </w:p>
    <w:tbl>
      <w:tblPr>
        <w:tblStyle w:val="23"/>
        <w:tblW w:w="83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8"/>
        <w:gridCol w:w="982"/>
        <w:gridCol w:w="1260"/>
        <w:gridCol w:w="904"/>
        <w:gridCol w:w="1213"/>
        <w:gridCol w:w="1212"/>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518" w:type="dxa"/>
            <w:vMerge w:val="restart"/>
            <w:tcBorders>
              <w:top w:val="single" w:color="000000" w:sz="2" w:space="0"/>
              <w:bottom w:val="nil"/>
            </w:tcBorders>
            <w:vAlign w:val="top"/>
          </w:tcPr>
          <w:p>
            <w:pPr>
              <w:spacing w:line="396" w:lineRule="auto"/>
              <w:rPr>
                <w:rFonts w:hint="eastAsia" w:ascii="方正仿宋_GBK" w:hAnsi="方正仿宋_GBK" w:eastAsia="方正仿宋_GBK" w:cs="方正仿宋_GBK"/>
                <w:sz w:val="21"/>
                <w:highlight w:val="none"/>
              </w:rPr>
            </w:pPr>
          </w:p>
          <w:p>
            <w:pPr>
              <w:spacing w:before="65" w:line="229" w:lineRule="auto"/>
              <w:ind w:left="439"/>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pacing w:val="7"/>
                <w:sz w:val="20"/>
                <w:szCs w:val="20"/>
                <w:highlight w:val="none"/>
              </w:rPr>
              <w:t>名</w:t>
            </w:r>
            <w:r>
              <w:rPr>
                <w:rFonts w:hint="eastAsia" w:ascii="方正仿宋_GBK" w:hAnsi="方正仿宋_GBK" w:eastAsia="方正仿宋_GBK" w:cs="方正仿宋_GBK"/>
                <w:spacing w:val="5"/>
                <w:sz w:val="20"/>
                <w:szCs w:val="20"/>
                <w:highlight w:val="none"/>
              </w:rPr>
              <w:t>称项目</w:t>
            </w:r>
          </w:p>
        </w:tc>
        <w:tc>
          <w:tcPr>
            <w:tcW w:w="2242" w:type="dxa"/>
            <w:gridSpan w:val="2"/>
            <w:tcBorders>
              <w:top w:val="single" w:color="000000" w:sz="2" w:space="0"/>
              <w:bottom w:val="single" w:color="000000" w:sz="2" w:space="0"/>
            </w:tcBorders>
            <w:vAlign w:val="top"/>
          </w:tcPr>
          <w:p>
            <w:pPr>
              <w:spacing w:before="139" w:line="231" w:lineRule="auto"/>
              <w:ind w:left="832"/>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pacing w:val="6"/>
                <w:sz w:val="20"/>
                <w:szCs w:val="20"/>
                <w:highlight w:val="none"/>
              </w:rPr>
              <w:t>招标范围</w:t>
            </w:r>
          </w:p>
        </w:tc>
        <w:tc>
          <w:tcPr>
            <w:tcW w:w="2117" w:type="dxa"/>
            <w:gridSpan w:val="2"/>
            <w:tcBorders>
              <w:top w:val="single" w:color="000000" w:sz="2" w:space="0"/>
              <w:bottom w:val="single" w:color="000000" w:sz="2" w:space="0"/>
            </w:tcBorders>
            <w:vAlign w:val="top"/>
          </w:tcPr>
          <w:p>
            <w:pPr>
              <w:spacing w:before="139" w:line="231" w:lineRule="auto"/>
              <w:ind w:left="554"/>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pacing w:val="9"/>
                <w:sz w:val="20"/>
                <w:szCs w:val="20"/>
                <w:highlight w:val="none"/>
              </w:rPr>
              <w:t>招</w:t>
            </w:r>
            <w:r>
              <w:rPr>
                <w:rFonts w:hint="eastAsia" w:ascii="方正仿宋_GBK" w:hAnsi="方正仿宋_GBK" w:eastAsia="方正仿宋_GBK" w:cs="方正仿宋_GBK"/>
                <w:spacing w:val="7"/>
                <w:sz w:val="20"/>
                <w:szCs w:val="20"/>
                <w:highlight w:val="none"/>
              </w:rPr>
              <w:t>标组织形式</w:t>
            </w:r>
          </w:p>
        </w:tc>
        <w:tc>
          <w:tcPr>
            <w:tcW w:w="2442" w:type="dxa"/>
            <w:gridSpan w:val="2"/>
            <w:tcBorders>
              <w:top w:val="single" w:color="000000" w:sz="2" w:space="0"/>
              <w:bottom w:val="single" w:color="000000" w:sz="2" w:space="0"/>
            </w:tcBorders>
            <w:vAlign w:val="top"/>
          </w:tcPr>
          <w:p>
            <w:pPr>
              <w:spacing w:before="139" w:line="231" w:lineRule="auto"/>
              <w:ind w:left="936"/>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pacing w:val="6"/>
                <w:sz w:val="20"/>
                <w:szCs w:val="20"/>
                <w:highlight w:val="none"/>
              </w:rPr>
              <w:t>招标方式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518" w:type="dxa"/>
            <w:vMerge w:val="continue"/>
            <w:tcBorders>
              <w:top w:val="nil"/>
              <w:bottom w:val="single" w:color="000000" w:sz="2" w:space="0"/>
            </w:tcBorders>
            <w:vAlign w:val="top"/>
          </w:tcPr>
          <w:p>
            <w:pPr>
              <w:rPr>
                <w:rFonts w:hint="eastAsia" w:ascii="方正仿宋_GBK" w:hAnsi="方正仿宋_GBK" w:eastAsia="方正仿宋_GBK" w:cs="方正仿宋_GBK"/>
                <w:sz w:val="21"/>
                <w:highlight w:val="none"/>
              </w:rPr>
            </w:pPr>
          </w:p>
        </w:tc>
        <w:tc>
          <w:tcPr>
            <w:tcW w:w="982" w:type="dxa"/>
            <w:tcBorders>
              <w:top w:val="single" w:color="000000" w:sz="2" w:space="0"/>
              <w:bottom w:val="single" w:color="000000" w:sz="2" w:space="0"/>
            </w:tcBorders>
            <w:vAlign w:val="top"/>
          </w:tcPr>
          <w:p>
            <w:pPr>
              <w:spacing w:before="58" w:line="312" w:lineRule="exact"/>
              <w:ind w:left="346"/>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pacing w:val="-1"/>
                <w:position w:val="7"/>
                <w:sz w:val="20"/>
                <w:szCs w:val="20"/>
                <w:highlight w:val="none"/>
              </w:rPr>
              <w:t>全部</w:t>
            </w:r>
          </w:p>
          <w:p>
            <w:pPr>
              <w:spacing w:line="230" w:lineRule="auto"/>
              <w:ind w:left="340"/>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pacing w:val="2"/>
                <w:sz w:val="20"/>
                <w:szCs w:val="20"/>
                <w:highlight w:val="none"/>
              </w:rPr>
              <w:t>招标</w:t>
            </w:r>
          </w:p>
        </w:tc>
        <w:tc>
          <w:tcPr>
            <w:tcW w:w="1260" w:type="dxa"/>
            <w:tcBorders>
              <w:top w:val="single" w:color="000000" w:sz="2" w:space="0"/>
              <w:bottom w:val="single" w:color="000000" w:sz="2" w:space="0"/>
            </w:tcBorders>
            <w:vAlign w:val="top"/>
          </w:tcPr>
          <w:p>
            <w:pPr>
              <w:spacing w:before="58" w:line="312" w:lineRule="exact"/>
              <w:ind w:left="497"/>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pacing w:val="1"/>
                <w:position w:val="7"/>
                <w:sz w:val="20"/>
                <w:szCs w:val="20"/>
                <w:highlight w:val="none"/>
              </w:rPr>
              <w:t>部分</w:t>
            </w:r>
          </w:p>
          <w:p>
            <w:pPr>
              <w:spacing w:line="230" w:lineRule="auto"/>
              <w:ind w:left="495"/>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pacing w:val="2"/>
                <w:sz w:val="20"/>
                <w:szCs w:val="20"/>
                <w:highlight w:val="none"/>
              </w:rPr>
              <w:t>招标</w:t>
            </w:r>
          </w:p>
        </w:tc>
        <w:tc>
          <w:tcPr>
            <w:tcW w:w="904" w:type="dxa"/>
            <w:tcBorders>
              <w:top w:val="single" w:color="000000" w:sz="2" w:space="0"/>
              <w:bottom w:val="single" w:color="000000" w:sz="2" w:space="0"/>
            </w:tcBorders>
            <w:vAlign w:val="top"/>
          </w:tcPr>
          <w:p>
            <w:pPr>
              <w:spacing w:before="58" w:line="312" w:lineRule="exact"/>
              <w:ind w:left="340"/>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pacing w:val="-19"/>
                <w:position w:val="7"/>
                <w:sz w:val="20"/>
                <w:szCs w:val="20"/>
                <w:highlight w:val="none"/>
              </w:rPr>
              <w:t>自</w:t>
            </w:r>
            <w:r>
              <w:rPr>
                <w:rFonts w:hint="eastAsia" w:ascii="方正仿宋_GBK" w:hAnsi="方正仿宋_GBK" w:eastAsia="方正仿宋_GBK" w:cs="方正仿宋_GBK"/>
                <w:spacing w:val="-17"/>
                <w:position w:val="7"/>
                <w:sz w:val="20"/>
                <w:szCs w:val="20"/>
                <w:highlight w:val="none"/>
              </w:rPr>
              <w:t>行</w:t>
            </w:r>
          </w:p>
          <w:p>
            <w:pPr>
              <w:spacing w:line="230" w:lineRule="auto"/>
              <w:ind w:left="300"/>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pacing w:val="2"/>
                <w:sz w:val="20"/>
                <w:szCs w:val="20"/>
                <w:highlight w:val="none"/>
              </w:rPr>
              <w:t>招标</w:t>
            </w:r>
          </w:p>
        </w:tc>
        <w:tc>
          <w:tcPr>
            <w:tcW w:w="1213" w:type="dxa"/>
            <w:tcBorders>
              <w:top w:val="single" w:color="000000" w:sz="2" w:space="0"/>
              <w:bottom w:val="single" w:color="000000" w:sz="2" w:space="0"/>
            </w:tcBorders>
            <w:vAlign w:val="top"/>
          </w:tcPr>
          <w:p>
            <w:pPr>
              <w:spacing w:before="58" w:line="312" w:lineRule="exact"/>
              <w:ind w:left="480"/>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pacing w:val="-2"/>
                <w:position w:val="7"/>
                <w:sz w:val="20"/>
                <w:szCs w:val="20"/>
                <w:highlight w:val="none"/>
              </w:rPr>
              <w:t>委</w:t>
            </w:r>
            <w:r>
              <w:rPr>
                <w:rFonts w:hint="eastAsia" w:ascii="方正仿宋_GBK" w:hAnsi="方正仿宋_GBK" w:eastAsia="方正仿宋_GBK" w:cs="方正仿宋_GBK"/>
                <w:spacing w:val="-1"/>
                <w:position w:val="7"/>
                <w:sz w:val="20"/>
                <w:szCs w:val="20"/>
                <w:highlight w:val="none"/>
              </w:rPr>
              <w:t>托</w:t>
            </w:r>
          </w:p>
          <w:p>
            <w:pPr>
              <w:spacing w:line="230" w:lineRule="auto"/>
              <w:ind w:left="471"/>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pacing w:val="2"/>
                <w:sz w:val="20"/>
                <w:szCs w:val="20"/>
                <w:highlight w:val="none"/>
              </w:rPr>
              <w:t>招标</w:t>
            </w:r>
          </w:p>
        </w:tc>
        <w:tc>
          <w:tcPr>
            <w:tcW w:w="1212" w:type="dxa"/>
            <w:tcBorders>
              <w:top w:val="single" w:color="000000" w:sz="2" w:space="0"/>
              <w:bottom w:val="single" w:color="000000" w:sz="2" w:space="0"/>
            </w:tcBorders>
            <w:vAlign w:val="top"/>
          </w:tcPr>
          <w:p>
            <w:pPr>
              <w:spacing w:before="58" w:line="312" w:lineRule="exact"/>
              <w:ind w:left="478"/>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pacing w:val="-1"/>
                <w:position w:val="7"/>
                <w:sz w:val="20"/>
                <w:szCs w:val="20"/>
                <w:highlight w:val="none"/>
              </w:rPr>
              <w:t>公</w:t>
            </w:r>
            <w:r>
              <w:rPr>
                <w:rFonts w:hint="eastAsia" w:ascii="方正仿宋_GBK" w:hAnsi="方正仿宋_GBK" w:eastAsia="方正仿宋_GBK" w:cs="方正仿宋_GBK"/>
                <w:position w:val="7"/>
                <w:sz w:val="20"/>
                <w:szCs w:val="20"/>
                <w:highlight w:val="none"/>
              </w:rPr>
              <w:t>开</w:t>
            </w:r>
          </w:p>
          <w:p>
            <w:pPr>
              <w:spacing w:line="230" w:lineRule="auto"/>
              <w:ind w:left="473"/>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pacing w:val="2"/>
                <w:sz w:val="20"/>
                <w:szCs w:val="20"/>
                <w:highlight w:val="none"/>
              </w:rPr>
              <w:t>招标</w:t>
            </w:r>
          </w:p>
        </w:tc>
        <w:tc>
          <w:tcPr>
            <w:tcW w:w="1230" w:type="dxa"/>
            <w:tcBorders>
              <w:top w:val="single" w:color="000000" w:sz="2" w:space="0"/>
              <w:bottom w:val="single" w:color="000000" w:sz="2" w:space="0"/>
            </w:tcBorders>
            <w:vAlign w:val="top"/>
          </w:tcPr>
          <w:p>
            <w:pPr>
              <w:spacing w:before="58" w:line="312" w:lineRule="exact"/>
              <w:ind w:left="475"/>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pacing w:val="2"/>
                <w:position w:val="7"/>
                <w:sz w:val="20"/>
                <w:szCs w:val="20"/>
                <w:highlight w:val="none"/>
              </w:rPr>
              <w:t>邀请</w:t>
            </w:r>
          </w:p>
          <w:p>
            <w:pPr>
              <w:spacing w:line="230" w:lineRule="auto"/>
              <w:ind w:left="475"/>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pacing w:val="2"/>
                <w:sz w:val="20"/>
                <w:szCs w:val="20"/>
                <w:highlight w:val="none"/>
              </w:rPr>
              <w:t>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518" w:type="dxa"/>
            <w:tcBorders>
              <w:top w:val="single" w:color="000000" w:sz="2" w:space="0"/>
              <w:bottom w:val="single" w:color="000000" w:sz="2" w:space="0"/>
            </w:tcBorders>
            <w:vAlign w:val="top"/>
          </w:tcPr>
          <w:p>
            <w:pPr>
              <w:spacing w:before="127" w:line="231" w:lineRule="auto"/>
              <w:ind w:left="229"/>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pacing w:val="8"/>
                <w:sz w:val="20"/>
                <w:szCs w:val="20"/>
                <w:highlight w:val="none"/>
              </w:rPr>
              <w:t>建</w:t>
            </w:r>
            <w:r>
              <w:rPr>
                <w:rFonts w:hint="eastAsia" w:ascii="方正仿宋_GBK" w:hAnsi="方正仿宋_GBK" w:eastAsia="方正仿宋_GBK" w:cs="方正仿宋_GBK"/>
                <w:spacing w:val="7"/>
                <w:sz w:val="20"/>
                <w:szCs w:val="20"/>
                <w:highlight w:val="none"/>
              </w:rPr>
              <w:t>筑安装工程</w:t>
            </w:r>
          </w:p>
        </w:tc>
        <w:tc>
          <w:tcPr>
            <w:tcW w:w="982" w:type="dxa"/>
            <w:tcBorders>
              <w:top w:val="single" w:color="000000" w:sz="2" w:space="0"/>
              <w:bottom w:val="single" w:color="000000" w:sz="2" w:space="0"/>
            </w:tcBorders>
            <w:vAlign w:val="top"/>
          </w:tcPr>
          <w:p>
            <w:pPr>
              <w:spacing w:before="129" w:line="272" w:lineRule="exact"/>
              <w:ind w:left="492"/>
              <w:jc w:val="center"/>
              <w:rPr>
                <w:rFonts w:hint="eastAsia" w:ascii="方正仿宋_GBK" w:hAnsi="方正仿宋_GBK" w:eastAsia="方正仿宋_GBK" w:cs="方正仿宋_GBK"/>
                <w:position w:val="1"/>
                <w:sz w:val="20"/>
                <w:szCs w:val="20"/>
                <w:highlight w:val="none"/>
              </w:rPr>
            </w:pPr>
            <w:r>
              <w:rPr>
                <w:rFonts w:hint="eastAsia" w:ascii="方正仿宋_GBK" w:hAnsi="方正仿宋_GBK" w:eastAsia="方正仿宋_GBK" w:cs="方正仿宋_GBK"/>
                <w:position w:val="1"/>
                <w:sz w:val="20"/>
                <w:szCs w:val="20"/>
                <w:highlight w:val="none"/>
              </w:rPr>
              <w:t>√</w:t>
            </w:r>
          </w:p>
        </w:tc>
        <w:tc>
          <w:tcPr>
            <w:tcW w:w="1260" w:type="dxa"/>
            <w:tcBorders>
              <w:top w:val="single" w:color="000000" w:sz="2" w:space="0"/>
              <w:bottom w:val="single" w:color="000000" w:sz="2" w:space="0"/>
            </w:tcBorders>
            <w:vAlign w:val="top"/>
          </w:tcPr>
          <w:p>
            <w:pPr>
              <w:spacing w:before="129" w:line="272" w:lineRule="exact"/>
              <w:ind w:left="492"/>
              <w:jc w:val="center"/>
              <w:rPr>
                <w:rFonts w:hint="eastAsia" w:ascii="方正仿宋_GBK" w:hAnsi="方正仿宋_GBK" w:eastAsia="方正仿宋_GBK" w:cs="方正仿宋_GBK"/>
                <w:position w:val="1"/>
                <w:sz w:val="20"/>
                <w:szCs w:val="20"/>
                <w:highlight w:val="none"/>
              </w:rPr>
            </w:pPr>
          </w:p>
        </w:tc>
        <w:tc>
          <w:tcPr>
            <w:tcW w:w="904" w:type="dxa"/>
            <w:tcBorders>
              <w:top w:val="single" w:color="000000" w:sz="2" w:space="0"/>
              <w:bottom w:val="single" w:color="000000" w:sz="2" w:space="0"/>
            </w:tcBorders>
            <w:vAlign w:val="top"/>
          </w:tcPr>
          <w:p>
            <w:pPr>
              <w:spacing w:before="129" w:line="272" w:lineRule="exact"/>
              <w:ind w:left="492"/>
              <w:jc w:val="center"/>
              <w:rPr>
                <w:rFonts w:hint="eastAsia" w:ascii="方正仿宋_GBK" w:hAnsi="方正仿宋_GBK" w:eastAsia="方正仿宋_GBK" w:cs="方正仿宋_GBK"/>
                <w:position w:val="1"/>
                <w:sz w:val="20"/>
                <w:szCs w:val="20"/>
                <w:highlight w:val="none"/>
              </w:rPr>
            </w:pPr>
          </w:p>
        </w:tc>
        <w:tc>
          <w:tcPr>
            <w:tcW w:w="1213" w:type="dxa"/>
            <w:tcBorders>
              <w:top w:val="single" w:color="000000" w:sz="2" w:space="0"/>
              <w:bottom w:val="single" w:color="000000" w:sz="2" w:space="0"/>
            </w:tcBorders>
            <w:vAlign w:val="top"/>
          </w:tcPr>
          <w:p>
            <w:pPr>
              <w:spacing w:before="129" w:line="272" w:lineRule="exact"/>
              <w:ind w:left="492"/>
              <w:jc w:val="center"/>
              <w:rPr>
                <w:rFonts w:hint="eastAsia" w:ascii="方正仿宋_GBK" w:hAnsi="方正仿宋_GBK" w:eastAsia="方正仿宋_GBK" w:cs="方正仿宋_GBK"/>
                <w:position w:val="1"/>
                <w:sz w:val="20"/>
                <w:szCs w:val="20"/>
                <w:highlight w:val="none"/>
              </w:rPr>
            </w:pPr>
            <w:r>
              <w:rPr>
                <w:rFonts w:hint="eastAsia" w:ascii="方正仿宋_GBK" w:hAnsi="方正仿宋_GBK" w:eastAsia="方正仿宋_GBK" w:cs="方正仿宋_GBK"/>
                <w:position w:val="1"/>
                <w:sz w:val="20"/>
                <w:szCs w:val="20"/>
                <w:highlight w:val="none"/>
              </w:rPr>
              <w:t>√</w:t>
            </w:r>
          </w:p>
        </w:tc>
        <w:tc>
          <w:tcPr>
            <w:tcW w:w="1212" w:type="dxa"/>
            <w:tcBorders>
              <w:top w:val="single" w:color="000000" w:sz="2" w:space="0"/>
              <w:bottom w:val="single" w:color="000000" w:sz="2" w:space="0"/>
            </w:tcBorders>
            <w:vAlign w:val="top"/>
          </w:tcPr>
          <w:p>
            <w:pPr>
              <w:spacing w:before="129" w:line="272" w:lineRule="exact"/>
              <w:ind w:left="492"/>
              <w:jc w:val="center"/>
              <w:rPr>
                <w:rFonts w:hint="eastAsia" w:ascii="方正仿宋_GBK" w:hAnsi="方正仿宋_GBK" w:eastAsia="方正仿宋_GBK" w:cs="方正仿宋_GBK"/>
                <w:position w:val="1"/>
                <w:sz w:val="20"/>
                <w:szCs w:val="20"/>
                <w:highlight w:val="none"/>
              </w:rPr>
            </w:pPr>
            <w:r>
              <w:rPr>
                <w:rFonts w:hint="eastAsia" w:ascii="方正仿宋_GBK" w:hAnsi="方正仿宋_GBK" w:eastAsia="方正仿宋_GBK" w:cs="方正仿宋_GBK"/>
                <w:position w:val="1"/>
                <w:sz w:val="20"/>
                <w:szCs w:val="20"/>
                <w:highlight w:val="none"/>
              </w:rPr>
              <w:t>√</w:t>
            </w:r>
          </w:p>
        </w:tc>
        <w:tc>
          <w:tcPr>
            <w:tcW w:w="1230" w:type="dxa"/>
            <w:tcBorders>
              <w:top w:val="single" w:color="000000" w:sz="2" w:space="0"/>
              <w:bottom w:val="single" w:color="000000" w:sz="2" w:space="0"/>
            </w:tcBorders>
            <w:vAlign w:val="top"/>
          </w:tcPr>
          <w:p>
            <w:pPr>
              <w:rPr>
                <w:rFonts w:hint="eastAsia" w:ascii="方正仿宋_GBK" w:hAnsi="方正仿宋_GBK" w:eastAsia="方正仿宋_GBK" w:cs="方正仿宋_GBK"/>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518" w:type="dxa"/>
            <w:tcBorders>
              <w:top w:val="single" w:color="000000" w:sz="2" w:space="0"/>
              <w:bottom w:val="single" w:color="000000" w:sz="2" w:space="0"/>
            </w:tcBorders>
            <w:vAlign w:val="top"/>
          </w:tcPr>
          <w:p>
            <w:pPr>
              <w:spacing w:before="127" w:line="239" w:lineRule="auto"/>
              <w:ind w:left="655"/>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pacing w:val="-2"/>
                <w:sz w:val="20"/>
                <w:szCs w:val="20"/>
                <w:highlight w:val="none"/>
              </w:rPr>
              <w:t>监</w:t>
            </w:r>
            <w:r>
              <w:rPr>
                <w:rFonts w:hint="eastAsia" w:ascii="方正仿宋_GBK" w:hAnsi="方正仿宋_GBK" w:eastAsia="方正仿宋_GBK" w:cs="方正仿宋_GBK"/>
                <w:spacing w:val="-1"/>
                <w:sz w:val="20"/>
                <w:szCs w:val="20"/>
                <w:highlight w:val="none"/>
              </w:rPr>
              <w:t>理</w:t>
            </w:r>
          </w:p>
        </w:tc>
        <w:tc>
          <w:tcPr>
            <w:tcW w:w="982" w:type="dxa"/>
            <w:tcBorders>
              <w:top w:val="single" w:color="000000" w:sz="2" w:space="0"/>
              <w:bottom w:val="single" w:color="000000" w:sz="2" w:space="0"/>
            </w:tcBorders>
            <w:vAlign w:val="top"/>
          </w:tcPr>
          <w:p>
            <w:pPr>
              <w:spacing w:before="129" w:line="272" w:lineRule="exact"/>
              <w:ind w:left="492"/>
              <w:jc w:val="center"/>
              <w:rPr>
                <w:rFonts w:hint="eastAsia" w:ascii="方正仿宋_GBK" w:hAnsi="方正仿宋_GBK" w:eastAsia="方正仿宋_GBK" w:cs="方正仿宋_GBK"/>
                <w:position w:val="1"/>
                <w:sz w:val="20"/>
                <w:szCs w:val="20"/>
                <w:highlight w:val="none"/>
              </w:rPr>
            </w:pPr>
            <w:r>
              <w:rPr>
                <w:rFonts w:hint="eastAsia" w:ascii="方正仿宋_GBK" w:hAnsi="方正仿宋_GBK" w:eastAsia="方正仿宋_GBK" w:cs="方正仿宋_GBK"/>
                <w:position w:val="1"/>
                <w:sz w:val="20"/>
                <w:szCs w:val="20"/>
                <w:highlight w:val="none"/>
              </w:rPr>
              <w:t>√</w:t>
            </w:r>
          </w:p>
        </w:tc>
        <w:tc>
          <w:tcPr>
            <w:tcW w:w="1260" w:type="dxa"/>
            <w:tcBorders>
              <w:top w:val="single" w:color="000000" w:sz="2" w:space="0"/>
              <w:bottom w:val="single" w:color="000000" w:sz="2" w:space="0"/>
            </w:tcBorders>
            <w:vAlign w:val="top"/>
          </w:tcPr>
          <w:p>
            <w:pPr>
              <w:spacing w:before="129" w:line="272" w:lineRule="exact"/>
              <w:ind w:left="492"/>
              <w:jc w:val="center"/>
              <w:rPr>
                <w:rFonts w:hint="eastAsia" w:ascii="方正仿宋_GBK" w:hAnsi="方正仿宋_GBK" w:eastAsia="方正仿宋_GBK" w:cs="方正仿宋_GBK"/>
                <w:position w:val="1"/>
                <w:sz w:val="20"/>
                <w:szCs w:val="20"/>
                <w:highlight w:val="none"/>
              </w:rPr>
            </w:pPr>
          </w:p>
        </w:tc>
        <w:tc>
          <w:tcPr>
            <w:tcW w:w="904" w:type="dxa"/>
            <w:tcBorders>
              <w:top w:val="single" w:color="000000" w:sz="2" w:space="0"/>
              <w:bottom w:val="single" w:color="000000" w:sz="2" w:space="0"/>
            </w:tcBorders>
            <w:vAlign w:val="top"/>
          </w:tcPr>
          <w:p>
            <w:pPr>
              <w:spacing w:before="129" w:line="272" w:lineRule="exact"/>
              <w:ind w:left="492"/>
              <w:jc w:val="center"/>
              <w:rPr>
                <w:rFonts w:hint="eastAsia" w:ascii="方正仿宋_GBK" w:hAnsi="方正仿宋_GBK" w:eastAsia="方正仿宋_GBK" w:cs="方正仿宋_GBK"/>
                <w:position w:val="1"/>
                <w:sz w:val="20"/>
                <w:szCs w:val="20"/>
                <w:highlight w:val="none"/>
              </w:rPr>
            </w:pPr>
          </w:p>
        </w:tc>
        <w:tc>
          <w:tcPr>
            <w:tcW w:w="1213" w:type="dxa"/>
            <w:tcBorders>
              <w:top w:val="single" w:color="000000" w:sz="2" w:space="0"/>
              <w:bottom w:val="single" w:color="000000" w:sz="2" w:space="0"/>
            </w:tcBorders>
            <w:vAlign w:val="top"/>
          </w:tcPr>
          <w:p>
            <w:pPr>
              <w:spacing w:before="129" w:line="272" w:lineRule="exact"/>
              <w:ind w:left="492"/>
              <w:jc w:val="center"/>
              <w:rPr>
                <w:rFonts w:hint="eastAsia" w:ascii="方正仿宋_GBK" w:hAnsi="方正仿宋_GBK" w:eastAsia="方正仿宋_GBK" w:cs="方正仿宋_GBK"/>
                <w:position w:val="1"/>
                <w:sz w:val="20"/>
                <w:szCs w:val="20"/>
                <w:highlight w:val="none"/>
              </w:rPr>
            </w:pPr>
            <w:r>
              <w:rPr>
                <w:rFonts w:hint="eastAsia" w:ascii="方正仿宋_GBK" w:hAnsi="方正仿宋_GBK" w:eastAsia="方正仿宋_GBK" w:cs="方正仿宋_GBK"/>
                <w:position w:val="1"/>
                <w:sz w:val="20"/>
                <w:szCs w:val="20"/>
                <w:highlight w:val="none"/>
              </w:rPr>
              <w:t>√</w:t>
            </w:r>
          </w:p>
        </w:tc>
        <w:tc>
          <w:tcPr>
            <w:tcW w:w="1212" w:type="dxa"/>
            <w:tcBorders>
              <w:top w:val="single" w:color="000000" w:sz="2" w:space="0"/>
              <w:bottom w:val="single" w:color="000000" w:sz="2" w:space="0"/>
            </w:tcBorders>
            <w:vAlign w:val="top"/>
          </w:tcPr>
          <w:p>
            <w:pPr>
              <w:spacing w:before="129" w:line="272" w:lineRule="exact"/>
              <w:ind w:left="492"/>
              <w:jc w:val="center"/>
              <w:rPr>
                <w:rFonts w:hint="eastAsia" w:ascii="方正仿宋_GBK" w:hAnsi="方正仿宋_GBK" w:eastAsia="方正仿宋_GBK" w:cs="方正仿宋_GBK"/>
                <w:position w:val="1"/>
                <w:sz w:val="20"/>
                <w:szCs w:val="20"/>
                <w:highlight w:val="none"/>
              </w:rPr>
            </w:pPr>
            <w:r>
              <w:rPr>
                <w:rFonts w:hint="eastAsia" w:ascii="方正仿宋_GBK" w:hAnsi="方正仿宋_GBK" w:eastAsia="方正仿宋_GBK" w:cs="方正仿宋_GBK"/>
                <w:position w:val="1"/>
                <w:sz w:val="20"/>
                <w:szCs w:val="20"/>
                <w:highlight w:val="none"/>
              </w:rPr>
              <w:t>√</w:t>
            </w:r>
          </w:p>
        </w:tc>
        <w:tc>
          <w:tcPr>
            <w:tcW w:w="1230" w:type="dxa"/>
            <w:tcBorders>
              <w:top w:val="single" w:color="000000" w:sz="2" w:space="0"/>
              <w:bottom w:val="single" w:color="000000" w:sz="2" w:space="0"/>
            </w:tcBorders>
            <w:vAlign w:val="top"/>
          </w:tcPr>
          <w:p>
            <w:pPr>
              <w:rPr>
                <w:rFonts w:hint="eastAsia" w:ascii="方正仿宋_GBK" w:hAnsi="方正仿宋_GBK" w:eastAsia="方正仿宋_GBK" w:cs="方正仿宋_GBK"/>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518" w:type="dxa"/>
            <w:tcBorders>
              <w:top w:val="single" w:color="000000" w:sz="2" w:space="0"/>
              <w:bottom w:val="single" w:color="000000" w:sz="2" w:space="0"/>
            </w:tcBorders>
            <w:vAlign w:val="top"/>
          </w:tcPr>
          <w:p>
            <w:pPr>
              <w:spacing w:before="126" w:line="232" w:lineRule="auto"/>
              <w:ind w:left="648"/>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pacing w:val="2"/>
                <w:sz w:val="20"/>
                <w:szCs w:val="20"/>
                <w:highlight w:val="none"/>
              </w:rPr>
              <w:t>设备</w:t>
            </w:r>
          </w:p>
        </w:tc>
        <w:tc>
          <w:tcPr>
            <w:tcW w:w="982" w:type="dxa"/>
            <w:tcBorders>
              <w:top w:val="single" w:color="000000" w:sz="2" w:space="0"/>
              <w:bottom w:val="single" w:color="000000" w:sz="2" w:space="0"/>
            </w:tcBorders>
            <w:vAlign w:val="top"/>
          </w:tcPr>
          <w:p>
            <w:pPr>
              <w:spacing w:before="129" w:line="272" w:lineRule="exact"/>
              <w:ind w:left="492"/>
              <w:jc w:val="center"/>
              <w:rPr>
                <w:rFonts w:hint="eastAsia" w:ascii="方正仿宋_GBK" w:hAnsi="方正仿宋_GBK" w:eastAsia="方正仿宋_GBK" w:cs="方正仿宋_GBK"/>
                <w:position w:val="1"/>
                <w:sz w:val="20"/>
                <w:szCs w:val="20"/>
                <w:highlight w:val="none"/>
              </w:rPr>
            </w:pPr>
            <w:r>
              <w:rPr>
                <w:rFonts w:hint="eastAsia" w:ascii="方正仿宋_GBK" w:hAnsi="方正仿宋_GBK" w:eastAsia="方正仿宋_GBK" w:cs="方正仿宋_GBK"/>
                <w:position w:val="1"/>
                <w:sz w:val="20"/>
                <w:szCs w:val="20"/>
                <w:highlight w:val="none"/>
              </w:rPr>
              <w:t>√</w:t>
            </w:r>
          </w:p>
        </w:tc>
        <w:tc>
          <w:tcPr>
            <w:tcW w:w="1260" w:type="dxa"/>
            <w:tcBorders>
              <w:top w:val="single" w:color="000000" w:sz="2" w:space="0"/>
              <w:bottom w:val="single" w:color="000000" w:sz="2" w:space="0"/>
            </w:tcBorders>
            <w:vAlign w:val="top"/>
          </w:tcPr>
          <w:p>
            <w:pPr>
              <w:spacing w:before="129" w:line="272" w:lineRule="exact"/>
              <w:ind w:left="492"/>
              <w:jc w:val="center"/>
              <w:rPr>
                <w:rFonts w:hint="eastAsia" w:ascii="方正仿宋_GBK" w:hAnsi="方正仿宋_GBK" w:eastAsia="方正仿宋_GBK" w:cs="方正仿宋_GBK"/>
                <w:position w:val="1"/>
                <w:sz w:val="20"/>
                <w:szCs w:val="20"/>
                <w:highlight w:val="none"/>
              </w:rPr>
            </w:pPr>
          </w:p>
        </w:tc>
        <w:tc>
          <w:tcPr>
            <w:tcW w:w="904" w:type="dxa"/>
            <w:tcBorders>
              <w:top w:val="single" w:color="000000" w:sz="2" w:space="0"/>
              <w:bottom w:val="single" w:color="000000" w:sz="2" w:space="0"/>
            </w:tcBorders>
            <w:vAlign w:val="top"/>
          </w:tcPr>
          <w:p>
            <w:pPr>
              <w:spacing w:before="129" w:line="272" w:lineRule="exact"/>
              <w:ind w:left="492"/>
              <w:jc w:val="center"/>
              <w:rPr>
                <w:rFonts w:hint="eastAsia" w:ascii="方正仿宋_GBK" w:hAnsi="方正仿宋_GBK" w:eastAsia="方正仿宋_GBK" w:cs="方正仿宋_GBK"/>
                <w:position w:val="1"/>
                <w:sz w:val="20"/>
                <w:szCs w:val="20"/>
                <w:highlight w:val="none"/>
              </w:rPr>
            </w:pPr>
          </w:p>
        </w:tc>
        <w:tc>
          <w:tcPr>
            <w:tcW w:w="1213" w:type="dxa"/>
            <w:tcBorders>
              <w:top w:val="single" w:color="000000" w:sz="2" w:space="0"/>
              <w:bottom w:val="single" w:color="000000" w:sz="2" w:space="0"/>
            </w:tcBorders>
            <w:vAlign w:val="top"/>
          </w:tcPr>
          <w:p>
            <w:pPr>
              <w:spacing w:before="129" w:line="272" w:lineRule="exact"/>
              <w:ind w:left="492"/>
              <w:jc w:val="center"/>
              <w:rPr>
                <w:rFonts w:hint="eastAsia" w:ascii="方正仿宋_GBK" w:hAnsi="方正仿宋_GBK" w:eastAsia="方正仿宋_GBK" w:cs="方正仿宋_GBK"/>
                <w:position w:val="1"/>
                <w:sz w:val="20"/>
                <w:szCs w:val="20"/>
                <w:highlight w:val="none"/>
              </w:rPr>
            </w:pPr>
            <w:r>
              <w:rPr>
                <w:rFonts w:hint="eastAsia" w:ascii="方正仿宋_GBK" w:hAnsi="方正仿宋_GBK" w:eastAsia="方正仿宋_GBK" w:cs="方正仿宋_GBK"/>
                <w:position w:val="1"/>
                <w:sz w:val="20"/>
                <w:szCs w:val="20"/>
                <w:highlight w:val="none"/>
              </w:rPr>
              <w:t>√</w:t>
            </w:r>
          </w:p>
        </w:tc>
        <w:tc>
          <w:tcPr>
            <w:tcW w:w="1212" w:type="dxa"/>
            <w:tcBorders>
              <w:top w:val="single" w:color="000000" w:sz="2" w:space="0"/>
              <w:bottom w:val="single" w:color="000000" w:sz="2" w:space="0"/>
            </w:tcBorders>
            <w:vAlign w:val="top"/>
          </w:tcPr>
          <w:p>
            <w:pPr>
              <w:spacing w:before="129" w:line="272" w:lineRule="exact"/>
              <w:ind w:left="492"/>
              <w:jc w:val="center"/>
              <w:rPr>
                <w:rFonts w:hint="eastAsia" w:ascii="方正仿宋_GBK" w:hAnsi="方正仿宋_GBK" w:eastAsia="方正仿宋_GBK" w:cs="方正仿宋_GBK"/>
                <w:position w:val="1"/>
                <w:sz w:val="20"/>
                <w:szCs w:val="20"/>
                <w:highlight w:val="none"/>
              </w:rPr>
            </w:pPr>
            <w:r>
              <w:rPr>
                <w:rFonts w:hint="eastAsia" w:ascii="方正仿宋_GBK" w:hAnsi="方正仿宋_GBK" w:eastAsia="方正仿宋_GBK" w:cs="方正仿宋_GBK"/>
                <w:position w:val="1"/>
                <w:sz w:val="20"/>
                <w:szCs w:val="20"/>
                <w:highlight w:val="none"/>
              </w:rPr>
              <w:t>√</w:t>
            </w:r>
          </w:p>
        </w:tc>
        <w:tc>
          <w:tcPr>
            <w:tcW w:w="1230" w:type="dxa"/>
            <w:tcBorders>
              <w:top w:val="single" w:color="000000" w:sz="2" w:space="0"/>
              <w:bottom w:val="single" w:color="000000" w:sz="2" w:space="0"/>
            </w:tcBorders>
            <w:vAlign w:val="top"/>
          </w:tcPr>
          <w:p>
            <w:pPr>
              <w:rPr>
                <w:rFonts w:hint="eastAsia" w:ascii="方正仿宋_GBK" w:hAnsi="方正仿宋_GBK" w:eastAsia="方正仿宋_GBK" w:cs="方正仿宋_GBK"/>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3" w:hRule="atLeast"/>
        </w:trPr>
        <w:tc>
          <w:tcPr>
            <w:tcW w:w="1518" w:type="dxa"/>
            <w:tcBorders>
              <w:top w:val="single" w:color="000000" w:sz="2" w:space="0"/>
              <w:bottom w:val="single" w:color="000000" w:sz="2" w:space="0"/>
            </w:tcBorders>
            <w:vAlign w:val="top"/>
          </w:tcPr>
          <w:p>
            <w:pPr>
              <w:spacing w:before="129" w:line="231" w:lineRule="auto"/>
              <w:ind w:left="648"/>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pacing w:val="2"/>
                <w:sz w:val="20"/>
                <w:szCs w:val="20"/>
                <w:highlight w:val="none"/>
              </w:rPr>
              <w:t>设计</w:t>
            </w:r>
          </w:p>
        </w:tc>
        <w:tc>
          <w:tcPr>
            <w:tcW w:w="982" w:type="dxa"/>
            <w:tcBorders>
              <w:top w:val="single" w:color="000000" w:sz="2" w:space="0"/>
              <w:bottom w:val="single" w:color="000000" w:sz="2" w:space="0"/>
            </w:tcBorders>
            <w:vAlign w:val="top"/>
          </w:tcPr>
          <w:p>
            <w:pPr>
              <w:spacing w:before="129" w:line="272" w:lineRule="exact"/>
              <w:ind w:left="492"/>
              <w:jc w:val="center"/>
              <w:rPr>
                <w:rFonts w:hint="eastAsia" w:ascii="方正仿宋_GBK" w:hAnsi="方正仿宋_GBK" w:eastAsia="方正仿宋_GBK" w:cs="方正仿宋_GBK"/>
                <w:position w:val="1"/>
                <w:sz w:val="20"/>
                <w:szCs w:val="20"/>
                <w:highlight w:val="none"/>
              </w:rPr>
            </w:pPr>
            <w:r>
              <w:rPr>
                <w:rFonts w:hint="eastAsia" w:ascii="方正仿宋_GBK" w:hAnsi="方正仿宋_GBK" w:eastAsia="方正仿宋_GBK" w:cs="方正仿宋_GBK"/>
                <w:position w:val="1"/>
                <w:sz w:val="20"/>
                <w:szCs w:val="20"/>
                <w:highlight w:val="none"/>
              </w:rPr>
              <w:t>√</w:t>
            </w:r>
          </w:p>
        </w:tc>
        <w:tc>
          <w:tcPr>
            <w:tcW w:w="1260" w:type="dxa"/>
            <w:tcBorders>
              <w:top w:val="single" w:color="000000" w:sz="2" w:space="0"/>
              <w:bottom w:val="single" w:color="000000" w:sz="2" w:space="0"/>
            </w:tcBorders>
            <w:vAlign w:val="top"/>
          </w:tcPr>
          <w:p>
            <w:pPr>
              <w:spacing w:before="129" w:line="272" w:lineRule="exact"/>
              <w:ind w:left="492"/>
              <w:jc w:val="center"/>
              <w:rPr>
                <w:rFonts w:hint="eastAsia" w:ascii="方正仿宋_GBK" w:hAnsi="方正仿宋_GBK" w:eastAsia="方正仿宋_GBK" w:cs="方正仿宋_GBK"/>
                <w:position w:val="1"/>
                <w:sz w:val="20"/>
                <w:szCs w:val="20"/>
                <w:highlight w:val="none"/>
              </w:rPr>
            </w:pPr>
          </w:p>
        </w:tc>
        <w:tc>
          <w:tcPr>
            <w:tcW w:w="904" w:type="dxa"/>
            <w:tcBorders>
              <w:top w:val="single" w:color="000000" w:sz="2" w:space="0"/>
              <w:bottom w:val="single" w:color="000000" w:sz="2" w:space="0"/>
            </w:tcBorders>
            <w:vAlign w:val="top"/>
          </w:tcPr>
          <w:p>
            <w:pPr>
              <w:spacing w:before="129" w:line="272" w:lineRule="exact"/>
              <w:ind w:left="492"/>
              <w:jc w:val="center"/>
              <w:rPr>
                <w:rFonts w:hint="eastAsia" w:ascii="方正仿宋_GBK" w:hAnsi="方正仿宋_GBK" w:eastAsia="方正仿宋_GBK" w:cs="方正仿宋_GBK"/>
                <w:position w:val="1"/>
                <w:sz w:val="20"/>
                <w:szCs w:val="20"/>
                <w:highlight w:val="none"/>
              </w:rPr>
            </w:pPr>
          </w:p>
        </w:tc>
        <w:tc>
          <w:tcPr>
            <w:tcW w:w="1213" w:type="dxa"/>
            <w:tcBorders>
              <w:top w:val="single" w:color="000000" w:sz="2" w:space="0"/>
              <w:bottom w:val="single" w:color="000000" w:sz="2" w:space="0"/>
            </w:tcBorders>
            <w:vAlign w:val="top"/>
          </w:tcPr>
          <w:p>
            <w:pPr>
              <w:spacing w:before="129" w:line="272" w:lineRule="exact"/>
              <w:ind w:left="492"/>
              <w:jc w:val="center"/>
              <w:rPr>
                <w:rFonts w:hint="eastAsia" w:ascii="方正仿宋_GBK" w:hAnsi="方正仿宋_GBK" w:eastAsia="方正仿宋_GBK" w:cs="方正仿宋_GBK"/>
                <w:position w:val="1"/>
                <w:sz w:val="20"/>
                <w:szCs w:val="20"/>
                <w:highlight w:val="none"/>
              </w:rPr>
            </w:pPr>
            <w:r>
              <w:rPr>
                <w:rFonts w:hint="eastAsia" w:ascii="方正仿宋_GBK" w:hAnsi="方正仿宋_GBK" w:eastAsia="方正仿宋_GBK" w:cs="方正仿宋_GBK"/>
                <w:position w:val="1"/>
                <w:sz w:val="20"/>
                <w:szCs w:val="20"/>
                <w:highlight w:val="none"/>
              </w:rPr>
              <w:t>√</w:t>
            </w:r>
          </w:p>
        </w:tc>
        <w:tc>
          <w:tcPr>
            <w:tcW w:w="1212" w:type="dxa"/>
            <w:tcBorders>
              <w:top w:val="single" w:color="000000" w:sz="2" w:space="0"/>
              <w:bottom w:val="single" w:color="000000" w:sz="2" w:space="0"/>
            </w:tcBorders>
            <w:vAlign w:val="top"/>
          </w:tcPr>
          <w:p>
            <w:pPr>
              <w:spacing w:before="129" w:line="272" w:lineRule="exact"/>
              <w:ind w:left="492"/>
              <w:jc w:val="center"/>
              <w:rPr>
                <w:rFonts w:hint="eastAsia" w:ascii="方正仿宋_GBK" w:hAnsi="方正仿宋_GBK" w:eastAsia="方正仿宋_GBK" w:cs="方正仿宋_GBK"/>
                <w:position w:val="1"/>
                <w:sz w:val="20"/>
                <w:szCs w:val="20"/>
                <w:highlight w:val="none"/>
              </w:rPr>
            </w:pPr>
            <w:r>
              <w:rPr>
                <w:rFonts w:hint="eastAsia" w:ascii="方正仿宋_GBK" w:hAnsi="方正仿宋_GBK" w:eastAsia="方正仿宋_GBK" w:cs="方正仿宋_GBK"/>
                <w:position w:val="1"/>
                <w:sz w:val="20"/>
                <w:szCs w:val="20"/>
                <w:highlight w:val="none"/>
              </w:rPr>
              <w:t>√</w:t>
            </w:r>
          </w:p>
        </w:tc>
        <w:tc>
          <w:tcPr>
            <w:tcW w:w="1230" w:type="dxa"/>
            <w:tcBorders>
              <w:top w:val="single" w:color="000000" w:sz="2" w:space="0"/>
              <w:bottom w:val="single" w:color="000000" w:sz="2" w:space="0"/>
            </w:tcBorders>
            <w:vAlign w:val="top"/>
          </w:tcPr>
          <w:p>
            <w:pPr>
              <w:spacing w:before="129" w:line="272" w:lineRule="exact"/>
              <w:ind w:left="625"/>
              <w:rPr>
                <w:rFonts w:hint="eastAsia" w:ascii="方正仿宋_GBK" w:hAnsi="方正仿宋_GBK" w:eastAsia="方正仿宋_GBK" w:cs="方正仿宋_GBK"/>
                <w:sz w:val="20"/>
                <w:szCs w:val="20"/>
                <w:highlight w:val="none"/>
              </w:rPr>
            </w:pPr>
          </w:p>
        </w:tc>
      </w:tr>
    </w:tbl>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bookmarkStart w:id="53" w:name="_Toc12349"/>
      <w:bookmarkStart w:id="54" w:name="_Toc10852"/>
      <w:r>
        <w:rPr>
          <w:rFonts w:hint="eastAsia" w:ascii="方正楷体_GBK" w:hAnsi="方正楷体_GBK" w:eastAsia="方正楷体_GBK" w:cs="方正楷体_GBK"/>
          <w:b/>
          <w:bCs/>
          <w:color w:val="auto"/>
          <w:sz w:val="32"/>
          <w:szCs w:val="32"/>
          <w:highlight w:val="none"/>
          <w:lang w:val="en-US" w:eastAsia="zh-CN"/>
        </w:rPr>
        <w:t>6.3项目公告公示</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根据《关于印发《新疆维吾尔自治区财政衔接推进乡村振兴补助资金(巩固拓展脱贫攻坚成果和乡村振兴任务)项目管理办法(暂行)》的通知》（新乡振〔2021〕32号）文件要求，按事前、事中、事后在乡、村以书面形式进行公示公告，接受群众监督。本项目建筑安装、监理、设计招标信息在新疆信息网进行公告，中标单位通过新疆信息网进行公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7.项目绩效目标及效益分析</w:t>
      </w:r>
      <w:bookmarkEnd w:id="53"/>
      <w:bookmarkEnd w:id="54"/>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bookmarkStart w:id="55" w:name="_Toc8330"/>
      <w:bookmarkStart w:id="56" w:name="_Toc28874"/>
      <w:r>
        <w:rPr>
          <w:rFonts w:hint="eastAsia" w:ascii="方正楷体_GBK" w:hAnsi="方正楷体_GBK" w:eastAsia="方正楷体_GBK" w:cs="方正楷体_GBK"/>
          <w:b/>
          <w:bCs/>
          <w:color w:val="auto"/>
          <w:sz w:val="32"/>
          <w:szCs w:val="32"/>
          <w:highlight w:val="none"/>
          <w:lang w:val="en-US" w:eastAsia="zh-CN"/>
        </w:rPr>
        <w:t>7.1年度目标</w:t>
      </w:r>
      <w:bookmarkEnd w:id="55"/>
      <w:bookmarkEnd w:id="56"/>
    </w:p>
    <w:p>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本项目总投资为3406.33万元，主要用于更换配水管道243.0千米，新建配套闸阀井66座。项目的实施，改善项目区居民用水条件，提高农民生活品质。预计受益巩固脱贫人口不低于8578人，受益巩固脱贫人口满意度可达100%。</w:t>
      </w:r>
    </w:p>
    <w:p>
      <w:pPr>
        <w:pStyle w:val="17"/>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9"/>
        <w:rPr>
          <w:rFonts w:hint="eastAsia" w:ascii="方正仿宋_GBK" w:hAnsi="方正仿宋_GBK" w:eastAsia="方正仿宋_GBK" w:cs="方正仿宋_GBK"/>
          <w:b/>
          <w:bCs/>
          <w:color w:val="auto"/>
          <w:kern w:val="2"/>
          <w:sz w:val="32"/>
          <w:szCs w:val="32"/>
          <w:highlight w:val="none"/>
          <w:lang w:val="en-US" w:eastAsia="zh-CN" w:bidi="ar-SA"/>
        </w:rPr>
      </w:pPr>
      <w:bookmarkStart w:id="57" w:name="_Toc31977"/>
      <w:bookmarkStart w:id="58" w:name="_Toc14249"/>
      <w:r>
        <w:rPr>
          <w:rFonts w:hint="eastAsia" w:ascii="方正仿宋_GBK" w:hAnsi="方正仿宋_GBK" w:eastAsia="方正仿宋_GBK" w:cs="方正仿宋_GBK"/>
          <w:b/>
          <w:bCs/>
          <w:color w:val="auto"/>
          <w:kern w:val="2"/>
          <w:sz w:val="32"/>
          <w:szCs w:val="32"/>
          <w:highlight w:val="none"/>
          <w:lang w:val="en-US" w:eastAsia="zh-CN" w:bidi="ar-SA"/>
        </w:rPr>
        <w:t>7.1.1项目覆盖情况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本项目覆盖麦盖提县央塔克乡、昂格特勒克乡，涉及受益巩固脱贫人口8578人，改善项目区居民用水条件。</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7.2经济效益</w:t>
      </w:r>
      <w:bookmarkEnd w:id="57"/>
      <w:bookmarkEnd w:id="58"/>
    </w:p>
    <w:p>
      <w:pPr>
        <w:keepNext w:val="0"/>
        <w:keepLines w:val="0"/>
        <w:pageBreakBefore w:val="0"/>
        <w:widowControl/>
        <w:suppressLineNumbers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7.2.1直接效益</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项目为提高资金的使用效益，改善脱贫农村生产生活条件和发展环境帮助脱贫农民脱贫致富在项目实施过程中组织当地各村在册脱贫户投工投劳，项目建设尽可能多的提供人工劳动量。支付劳务报酬，直接增加脱贫群众收入。</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7.2.2间接效益</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bookmarkStart w:id="59" w:name="_Toc5003"/>
      <w:bookmarkStart w:id="60" w:name="_Toc32041"/>
      <w:r>
        <w:rPr>
          <w:rFonts w:hint="eastAsia" w:ascii="方正仿宋_GBK" w:hAnsi="方正仿宋_GBK" w:eastAsia="方正仿宋_GBK" w:cs="方正仿宋_GBK"/>
          <w:color w:val="auto"/>
          <w:kern w:val="2"/>
          <w:sz w:val="32"/>
          <w:szCs w:val="32"/>
          <w:highlight w:val="none"/>
          <w:lang w:val="en-US" w:eastAsia="zh-CN" w:bidi="ar-SA"/>
        </w:rPr>
        <w:t>本工程是麦盖提县的一项重要民生工程，工程的实施加强了麦盖提县基础设施建设，可以改善项目区居民用水条件，为促进向节水型社会提供基础条件起到了促进作用。</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7.3社会效益</w:t>
      </w:r>
      <w:bookmarkEnd w:id="59"/>
      <w:bookmarkEnd w:id="60"/>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 xml:space="preserve">工程建成后不但使农民身体健康得到保障，也促进了家庭联产承包责任制的实施，给畜牧业、农业及庭院经济的发展提供了可靠的保证。 </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bookmarkStart w:id="61" w:name="_Toc12883"/>
      <w:bookmarkStart w:id="62" w:name="_Toc9403"/>
      <w:r>
        <w:rPr>
          <w:rFonts w:hint="eastAsia" w:ascii="方正楷体_GBK" w:hAnsi="方正楷体_GBK" w:eastAsia="方正楷体_GBK" w:cs="方正楷体_GBK"/>
          <w:b/>
          <w:bCs/>
          <w:color w:val="auto"/>
          <w:sz w:val="32"/>
          <w:szCs w:val="32"/>
          <w:highlight w:val="none"/>
          <w:lang w:val="en-US" w:eastAsia="zh-CN"/>
        </w:rPr>
        <w:t>7.4生态效益</w:t>
      </w:r>
      <w:bookmarkEnd w:id="61"/>
      <w:bookmarkEnd w:id="62"/>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bookmarkStart w:id="63" w:name="_Toc15297"/>
      <w:bookmarkStart w:id="64" w:name="_Toc13021"/>
      <w:r>
        <w:rPr>
          <w:rFonts w:hint="eastAsia" w:ascii="方正仿宋_GBK" w:hAnsi="方正仿宋_GBK" w:eastAsia="方正仿宋_GBK" w:cs="方正仿宋_GBK"/>
          <w:color w:val="auto"/>
          <w:kern w:val="2"/>
          <w:sz w:val="32"/>
          <w:szCs w:val="32"/>
          <w:highlight w:val="none"/>
          <w:lang w:val="en-US" w:eastAsia="zh-CN" w:bidi="ar-SA"/>
        </w:rPr>
        <w:t>本工程建成后，对项目区和辐射区整体自然环境均有很大的影响。主要表现在工程建设对水资源配置、土壤变化、植被生长、小气候的影响均有改善。</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7.5可持续性影响</w:t>
      </w:r>
      <w:bookmarkEnd w:id="63"/>
      <w:bookmarkEnd w:id="64"/>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本项目不但在实施过程中对当地经济、脱贫群众带来直接经济利益，既是本项目实施以后，也对当地经济带来持续发展的经济影响。可持续影响受益年限不低于30年。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bookmarkStart w:id="65" w:name="_Toc29530"/>
      <w:bookmarkStart w:id="66" w:name="_Toc11507"/>
      <w:r>
        <w:rPr>
          <w:rFonts w:hint="eastAsia" w:ascii="方正黑体_GBK" w:hAnsi="方正黑体_GBK" w:eastAsia="方正黑体_GBK" w:cs="方正黑体_GBK"/>
          <w:b w:val="0"/>
          <w:bCs w:val="0"/>
          <w:color w:val="auto"/>
          <w:sz w:val="32"/>
          <w:szCs w:val="32"/>
          <w:highlight w:val="none"/>
          <w:lang w:val="en-US" w:eastAsia="zh-CN"/>
        </w:rPr>
        <w:t>8.风险分析</w:t>
      </w:r>
      <w:bookmarkEnd w:id="65"/>
      <w:bookmarkEnd w:id="66"/>
    </w:p>
    <w:p>
      <w:pPr>
        <w:pStyle w:val="17"/>
        <w:keepNext w:val="0"/>
        <w:keepLines w:val="0"/>
        <w:pageBreakBefore w:val="0"/>
        <w:widowControl w:val="0"/>
        <w:kinsoku/>
        <w:wordWrap/>
        <w:overflowPunct/>
        <w:topLinePunct w:val="0"/>
        <w:autoSpaceDE/>
        <w:autoSpaceDN/>
        <w:bidi w:val="0"/>
        <w:adjustRightInd/>
        <w:snapToGrid w:val="0"/>
        <w:spacing w:line="570" w:lineRule="exact"/>
        <w:ind w:firstLine="667" w:firstLineChars="200"/>
        <w:textAlignment w:val="baseline"/>
        <w:outlineLvl w:val="1"/>
        <w:rPr>
          <w:rFonts w:ascii="Times New Roman" w:hAnsi="Times New Roman" w:eastAsia="方正楷体_GBK" w:cs="方正楷体_GBK"/>
          <w:b/>
          <w:bCs/>
          <w:spacing w:val="6"/>
          <w:sz w:val="32"/>
          <w:szCs w:val="32"/>
          <w:highlight w:val="none"/>
        </w:rPr>
      </w:pPr>
      <w:bookmarkStart w:id="67" w:name="_Toc136618449"/>
      <w:r>
        <w:rPr>
          <w:rFonts w:hint="eastAsia" w:ascii="Times New Roman" w:hAnsi="Times New Roman" w:eastAsia="方正楷体_GBK" w:cs="方正楷体_GBK"/>
          <w:b/>
          <w:bCs/>
          <w:spacing w:val="6"/>
          <w:sz w:val="32"/>
          <w:szCs w:val="32"/>
          <w:highlight w:val="none"/>
        </w:rPr>
        <w:t>８</w:t>
      </w:r>
      <w:r>
        <w:rPr>
          <w:rFonts w:ascii="Times New Roman" w:hAnsi="Times New Roman" w:eastAsia="方正楷体_GBK" w:cs="方正楷体_GBK"/>
          <w:b/>
          <w:bCs/>
          <w:spacing w:val="6"/>
          <w:sz w:val="32"/>
          <w:szCs w:val="32"/>
          <w:highlight w:val="none"/>
        </w:rPr>
        <w:t>.1</w:t>
      </w:r>
      <w:r>
        <w:rPr>
          <w:rFonts w:hint="eastAsia" w:ascii="Times New Roman" w:hAnsi="Times New Roman" w:eastAsia="方正楷体_GBK" w:cs="方正楷体_GBK"/>
          <w:b/>
          <w:bCs/>
          <w:spacing w:val="6"/>
          <w:sz w:val="32"/>
          <w:szCs w:val="32"/>
          <w:highlight w:val="none"/>
        </w:rPr>
        <w:t>主要风险因素</w:t>
      </w:r>
      <w:bookmarkEnd w:id="67"/>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spacing w:val="6"/>
          <w:sz w:val="32"/>
          <w:szCs w:val="32"/>
          <w:highlight w:val="none"/>
          <w:lang w:eastAsia="zh-CN"/>
        </w:rPr>
      </w:pPr>
      <w:r>
        <w:rPr>
          <w:rFonts w:hint="eastAsia" w:ascii="Times New Roman" w:hAnsi="Times New Roman" w:eastAsia="方正仿宋_GBK" w:cs="方正仿宋_GBK"/>
          <w:spacing w:val="6"/>
          <w:sz w:val="32"/>
          <w:szCs w:val="32"/>
          <w:highlight w:val="none"/>
          <w:lang w:eastAsia="zh-CN"/>
        </w:rPr>
        <w:t>在项目的实施和运营过程中，可能会面临多种风险因素，这些风险可能对项目的进度、质量、成本以及长期效益产生不利影响。以下是对本项目可能面临的主要风险因素的分析：</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b/>
          <w:bCs/>
          <w:spacing w:val="6"/>
          <w:sz w:val="32"/>
          <w:szCs w:val="32"/>
          <w:highlight w:val="none"/>
          <w:lang w:eastAsia="zh-CN"/>
        </w:rPr>
      </w:pPr>
      <w:r>
        <w:rPr>
          <w:rFonts w:hint="eastAsia" w:ascii="Times New Roman" w:hAnsi="Times New Roman" w:eastAsia="方正仿宋_GBK" w:cs="方正仿宋_GBK"/>
          <w:b/>
          <w:bCs/>
          <w:spacing w:val="6"/>
          <w:sz w:val="32"/>
          <w:szCs w:val="32"/>
          <w:highlight w:val="none"/>
          <w:lang w:eastAsia="zh-CN"/>
        </w:rPr>
        <w:t>8.1.1 自然风险</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spacing w:val="6"/>
          <w:sz w:val="32"/>
          <w:szCs w:val="32"/>
          <w:highlight w:val="none"/>
          <w:lang w:eastAsia="zh-CN"/>
        </w:rPr>
      </w:pPr>
      <w:r>
        <w:rPr>
          <w:rFonts w:hint="eastAsia" w:ascii="Times New Roman" w:hAnsi="Times New Roman" w:eastAsia="方正仿宋_GBK" w:cs="方正仿宋_GBK"/>
          <w:spacing w:val="6"/>
          <w:sz w:val="32"/>
          <w:szCs w:val="32"/>
          <w:highlight w:val="none"/>
          <w:lang w:eastAsia="zh-CN"/>
        </w:rPr>
        <w:t>自然风险主要包括气候、地质和水文等自然因素的变化。例如，极端天气、地震、洪水等自然灾害可能导致工程进度延误、成本增加，甚至可能对项目设施造成损坏，影响项目的长期运营。</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b/>
          <w:bCs/>
          <w:spacing w:val="6"/>
          <w:sz w:val="32"/>
          <w:szCs w:val="32"/>
          <w:highlight w:val="none"/>
          <w:lang w:eastAsia="zh-CN"/>
        </w:rPr>
      </w:pPr>
      <w:r>
        <w:rPr>
          <w:rFonts w:hint="eastAsia" w:ascii="Times New Roman" w:hAnsi="Times New Roman" w:eastAsia="方正仿宋_GBK" w:cs="方正仿宋_GBK"/>
          <w:b/>
          <w:bCs/>
          <w:spacing w:val="6"/>
          <w:sz w:val="32"/>
          <w:szCs w:val="32"/>
          <w:highlight w:val="none"/>
          <w:lang w:eastAsia="zh-CN"/>
        </w:rPr>
        <w:t>8.1.2 技术风险</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spacing w:val="6"/>
          <w:sz w:val="32"/>
          <w:szCs w:val="32"/>
          <w:highlight w:val="none"/>
          <w:lang w:eastAsia="zh-CN"/>
        </w:rPr>
      </w:pPr>
      <w:r>
        <w:rPr>
          <w:rFonts w:hint="eastAsia" w:ascii="Times New Roman" w:hAnsi="Times New Roman" w:eastAsia="方正仿宋_GBK" w:cs="方正仿宋_GBK"/>
          <w:spacing w:val="6"/>
          <w:sz w:val="32"/>
          <w:szCs w:val="32"/>
          <w:highlight w:val="none"/>
          <w:lang w:eastAsia="zh-CN"/>
        </w:rPr>
        <w:t>技术风险主要来源于项目设计、施工和运营过程中的技术难题。例如，设计方案的合理性、施工技术的可行性、运营管理的效率等都可能对项目产生不利影响。如果技术解决方案不当，可能导致项目无法达到预期效果，甚至可能引发安全问题。</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b/>
          <w:bCs/>
          <w:spacing w:val="6"/>
          <w:sz w:val="32"/>
          <w:szCs w:val="32"/>
          <w:highlight w:val="none"/>
          <w:lang w:eastAsia="zh-CN"/>
        </w:rPr>
      </w:pPr>
      <w:r>
        <w:rPr>
          <w:rFonts w:hint="eastAsia" w:ascii="Times New Roman" w:hAnsi="Times New Roman" w:eastAsia="方正仿宋_GBK" w:cs="方正仿宋_GBK"/>
          <w:b/>
          <w:bCs/>
          <w:spacing w:val="6"/>
          <w:sz w:val="32"/>
          <w:szCs w:val="32"/>
          <w:highlight w:val="none"/>
          <w:lang w:eastAsia="zh-CN"/>
        </w:rPr>
        <w:t>8.1.3 经济风险</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spacing w:val="6"/>
          <w:sz w:val="32"/>
          <w:szCs w:val="32"/>
          <w:highlight w:val="none"/>
          <w:lang w:eastAsia="zh-CN"/>
        </w:rPr>
      </w:pPr>
      <w:r>
        <w:rPr>
          <w:rFonts w:hint="eastAsia" w:ascii="Times New Roman" w:hAnsi="Times New Roman" w:eastAsia="方正仿宋_GBK" w:cs="方正仿宋_GBK"/>
          <w:spacing w:val="6"/>
          <w:sz w:val="32"/>
          <w:szCs w:val="32"/>
          <w:highlight w:val="none"/>
          <w:lang w:eastAsia="zh-CN"/>
        </w:rPr>
        <w:t>经济风险主要来源于项目资金筹措、成本控制和市场变化等方面。如果项目资金筹措不足或成本超出预算，可能导致项目无法按时完成或质量不达标。同时，市场变化也可能对项目产生不利影响，例如原材料价格波动、劳动力成本上升等。</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b/>
          <w:bCs/>
          <w:spacing w:val="6"/>
          <w:sz w:val="32"/>
          <w:szCs w:val="32"/>
          <w:highlight w:val="none"/>
          <w:lang w:eastAsia="zh-CN"/>
        </w:rPr>
      </w:pPr>
      <w:r>
        <w:rPr>
          <w:rFonts w:hint="eastAsia" w:ascii="Times New Roman" w:hAnsi="Times New Roman" w:eastAsia="方正仿宋_GBK" w:cs="方正仿宋_GBK"/>
          <w:b/>
          <w:bCs/>
          <w:spacing w:val="6"/>
          <w:sz w:val="32"/>
          <w:szCs w:val="32"/>
          <w:highlight w:val="none"/>
          <w:lang w:eastAsia="zh-CN"/>
        </w:rPr>
        <w:t>8.1.4 社会风险</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spacing w:val="6"/>
          <w:sz w:val="32"/>
          <w:szCs w:val="32"/>
          <w:highlight w:val="none"/>
          <w:lang w:eastAsia="zh-CN"/>
        </w:rPr>
      </w:pPr>
      <w:r>
        <w:rPr>
          <w:rFonts w:hint="eastAsia" w:ascii="Times New Roman" w:hAnsi="Times New Roman" w:eastAsia="方正仿宋_GBK" w:cs="方正仿宋_GBK"/>
          <w:spacing w:val="6"/>
          <w:sz w:val="32"/>
          <w:szCs w:val="32"/>
          <w:highlight w:val="none"/>
          <w:lang w:eastAsia="zh-CN"/>
        </w:rPr>
        <w:t>社会风险主要来源于项目对当地社会、环境和文化等方面的影响。例如，项目实施可能导致当地居民的生活环境受到影响，或者与当地的文化传统发生冲突。如果这些问题处理不当，可能引发社会矛盾和冲突，影响项目的顺利实施和长期运营。</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b/>
          <w:bCs/>
          <w:spacing w:val="6"/>
          <w:sz w:val="32"/>
          <w:szCs w:val="32"/>
          <w:highlight w:val="none"/>
          <w:lang w:eastAsia="zh-CN"/>
        </w:rPr>
      </w:pPr>
      <w:r>
        <w:rPr>
          <w:rFonts w:hint="eastAsia" w:ascii="Times New Roman" w:hAnsi="Times New Roman" w:eastAsia="方正仿宋_GBK" w:cs="方正仿宋_GBK"/>
          <w:b/>
          <w:bCs/>
          <w:spacing w:val="6"/>
          <w:sz w:val="32"/>
          <w:szCs w:val="32"/>
          <w:highlight w:val="none"/>
          <w:lang w:eastAsia="zh-CN"/>
        </w:rPr>
        <w:t>8.1.5 政策风险</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spacing w:val="6"/>
          <w:sz w:val="32"/>
          <w:szCs w:val="32"/>
          <w:highlight w:val="none"/>
          <w:lang w:eastAsia="zh-CN"/>
        </w:rPr>
      </w:pPr>
      <w:r>
        <w:rPr>
          <w:rFonts w:hint="eastAsia" w:ascii="Times New Roman" w:hAnsi="Times New Roman" w:eastAsia="方正仿宋_GBK" w:cs="方正仿宋_GBK"/>
          <w:spacing w:val="6"/>
          <w:sz w:val="32"/>
          <w:szCs w:val="32"/>
          <w:highlight w:val="none"/>
          <w:lang w:eastAsia="zh-CN"/>
        </w:rPr>
        <w:t>政策风险主要来源于国家法律法规、政策调整等方面。如果国家相关法律法规或政策发生变化，可能导致项目无法适应新的政策环境，影响项目的合规性和长期发展。</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b/>
          <w:bCs/>
          <w:spacing w:val="6"/>
          <w:sz w:val="32"/>
          <w:szCs w:val="32"/>
          <w:highlight w:val="none"/>
          <w:lang w:eastAsia="zh-CN"/>
        </w:rPr>
      </w:pPr>
      <w:r>
        <w:rPr>
          <w:rFonts w:hint="eastAsia" w:ascii="Times New Roman" w:hAnsi="Times New Roman" w:eastAsia="方正仿宋_GBK" w:cs="方正仿宋_GBK"/>
          <w:b/>
          <w:bCs/>
          <w:spacing w:val="6"/>
          <w:sz w:val="32"/>
          <w:szCs w:val="32"/>
          <w:highlight w:val="none"/>
          <w:lang w:eastAsia="zh-CN"/>
        </w:rPr>
        <w:t>8.2 风险应对策略</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spacing w:val="6"/>
          <w:sz w:val="32"/>
          <w:szCs w:val="32"/>
          <w:highlight w:val="none"/>
          <w:lang w:eastAsia="zh-CN"/>
        </w:rPr>
      </w:pPr>
      <w:r>
        <w:rPr>
          <w:rFonts w:hint="eastAsia" w:ascii="Times New Roman" w:hAnsi="Times New Roman" w:eastAsia="方正仿宋_GBK" w:cs="方正仿宋_GBK"/>
          <w:spacing w:val="6"/>
          <w:sz w:val="32"/>
          <w:szCs w:val="32"/>
          <w:highlight w:val="none"/>
          <w:lang w:eastAsia="zh-CN"/>
        </w:rPr>
        <w:t>为应对上述风险，本项目将采取以下策略：</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b/>
          <w:bCs/>
          <w:spacing w:val="6"/>
          <w:sz w:val="32"/>
          <w:szCs w:val="32"/>
          <w:highlight w:val="none"/>
          <w:lang w:eastAsia="zh-CN"/>
        </w:rPr>
      </w:pPr>
      <w:r>
        <w:rPr>
          <w:rFonts w:hint="eastAsia" w:ascii="Times New Roman" w:hAnsi="Times New Roman" w:eastAsia="方正仿宋_GBK" w:cs="方正仿宋_GBK"/>
          <w:b/>
          <w:bCs/>
          <w:spacing w:val="6"/>
          <w:sz w:val="32"/>
          <w:szCs w:val="32"/>
          <w:highlight w:val="none"/>
          <w:lang w:eastAsia="zh-CN"/>
        </w:rPr>
        <w:t>8.2.1 建立完善的风险管理机制</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spacing w:val="6"/>
          <w:sz w:val="32"/>
          <w:szCs w:val="32"/>
          <w:highlight w:val="none"/>
          <w:lang w:eastAsia="zh-CN"/>
        </w:rPr>
      </w:pPr>
      <w:r>
        <w:rPr>
          <w:rFonts w:hint="eastAsia" w:ascii="Times New Roman" w:hAnsi="Times New Roman" w:eastAsia="方正仿宋_GBK" w:cs="方正仿宋_GBK"/>
          <w:spacing w:val="6"/>
          <w:sz w:val="32"/>
          <w:szCs w:val="32"/>
          <w:highlight w:val="none"/>
          <w:lang w:eastAsia="zh-CN"/>
        </w:rPr>
        <w:t>项目将建立完善的风险管理机制，包括风险识别、评估、监控和应对等环节。通过定期的风险评估和监控，及时发现和应对潜在风险，确保项目的顺利实施和长期运营。</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b/>
          <w:bCs/>
          <w:spacing w:val="6"/>
          <w:sz w:val="32"/>
          <w:szCs w:val="32"/>
          <w:highlight w:val="none"/>
          <w:lang w:eastAsia="zh-CN"/>
        </w:rPr>
      </w:pPr>
      <w:r>
        <w:rPr>
          <w:rFonts w:hint="eastAsia" w:ascii="Times New Roman" w:hAnsi="Times New Roman" w:eastAsia="方正仿宋_GBK" w:cs="方正仿宋_GBK"/>
          <w:b/>
          <w:bCs/>
          <w:spacing w:val="6"/>
          <w:sz w:val="32"/>
          <w:szCs w:val="32"/>
          <w:highlight w:val="none"/>
          <w:lang w:eastAsia="zh-CN"/>
        </w:rPr>
        <w:t>8.2.2 加强与自然灾害的防范和应对</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spacing w:val="6"/>
          <w:sz w:val="32"/>
          <w:szCs w:val="32"/>
          <w:highlight w:val="none"/>
          <w:lang w:eastAsia="zh-CN"/>
        </w:rPr>
      </w:pPr>
      <w:r>
        <w:rPr>
          <w:rFonts w:hint="eastAsia" w:ascii="Times New Roman" w:hAnsi="Times New Roman" w:eastAsia="方正仿宋_GBK" w:cs="方正仿宋_GBK"/>
          <w:spacing w:val="6"/>
          <w:sz w:val="32"/>
          <w:szCs w:val="32"/>
          <w:highlight w:val="none"/>
          <w:lang w:eastAsia="zh-CN"/>
        </w:rPr>
        <w:t>针对自然风险，项目将加强与气象、地质等部门的沟通合作，及时了解气象和地质信息，制定科学的防范措施和应急预案。同时，加强项目设施的维护和保养，确保其能够抵御自然灾害的侵袭。</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b/>
          <w:bCs/>
          <w:spacing w:val="6"/>
          <w:sz w:val="32"/>
          <w:szCs w:val="32"/>
          <w:highlight w:val="none"/>
          <w:lang w:eastAsia="zh-CN"/>
        </w:rPr>
      </w:pPr>
      <w:r>
        <w:rPr>
          <w:rFonts w:hint="eastAsia" w:ascii="Times New Roman" w:hAnsi="Times New Roman" w:eastAsia="方正仿宋_GBK" w:cs="方正仿宋_GBK"/>
          <w:b/>
          <w:bCs/>
          <w:spacing w:val="6"/>
          <w:sz w:val="32"/>
          <w:szCs w:val="32"/>
          <w:highlight w:val="none"/>
          <w:lang w:eastAsia="zh-CN"/>
        </w:rPr>
        <w:t>8.2.3 强化技术支持和创新</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spacing w:val="6"/>
          <w:sz w:val="32"/>
          <w:szCs w:val="32"/>
          <w:highlight w:val="none"/>
          <w:lang w:eastAsia="zh-CN"/>
        </w:rPr>
      </w:pPr>
      <w:r>
        <w:rPr>
          <w:rFonts w:hint="eastAsia" w:ascii="Times New Roman" w:hAnsi="Times New Roman" w:eastAsia="方正仿宋_GBK" w:cs="方正仿宋_GBK"/>
          <w:spacing w:val="6"/>
          <w:sz w:val="32"/>
          <w:szCs w:val="32"/>
          <w:highlight w:val="none"/>
          <w:lang w:eastAsia="zh-CN"/>
        </w:rPr>
        <w:t>针对技术风险，项目将强化技术支持和创新，采用先进的技术方案和施工工艺，确保项目的设计、施工和运营都达到先进水平。同时，加强与科研机构的合作，不断引进新技术、新材料和新工艺，提高项目的科技含量和竞争力。</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b/>
          <w:bCs/>
          <w:spacing w:val="6"/>
          <w:sz w:val="32"/>
          <w:szCs w:val="32"/>
          <w:highlight w:val="none"/>
          <w:lang w:eastAsia="zh-CN"/>
        </w:rPr>
      </w:pPr>
      <w:r>
        <w:rPr>
          <w:rFonts w:hint="eastAsia" w:ascii="Times New Roman" w:hAnsi="Times New Roman" w:eastAsia="方正仿宋_GBK" w:cs="方正仿宋_GBK"/>
          <w:b/>
          <w:bCs/>
          <w:spacing w:val="6"/>
          <w:sz w:val="32"/>
          <w:szCs w:val="32"/>
          <w:highlight w:val="none"/>
          <w:lang w:eastAsia="zh-CN"/>
        </w:rPr>
        <w:t>8.2.4 严格控制成本和市场风险</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spacing w:val="6"/>
          <w:sz w:val="32"/>
          <w:szCs w:val="32"/>
          <w:highlight w:val="none"/>
          <w:lang w:eastAsia="zh-CN"/>
        </w:rPr>
      </w:pPr>
      <w:r>
        <w:rPr>
          <w:rFonts w:hint="eastAsia" w:ascii="Times New Roman" w:hAnsi="Times New Roman" w:eastAsia="方正仿宋_GBK" w:cs="方正仿宋_GBK"/>
          <w:spacing w:val="6"/>
          <w:sz w:val="32"/>
          <w:szCs w:val="32"/>
          <w:highlight w:val="none"/>
          <w:lang w:eastAsia="zh-CN"/>
        </w:rPr>
        <w:t>针对经济风险，项目将严格控制成本和市场风险。在资金筹措方面，积极争取政府补贴、银行贷款等多元化资金来源；在成本控制方面，加强项目预算管理和成本核算，确保项目成本控制在合理范围内。同时，密切关注市场动态，及时调整采购策略，降低市场风险对项目的影响。</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b/>
          <w:bCs/>
          <w:spacing w:val="6"/>
          <w:sz w:val="32"/>
          <w:szCs w:val="32"/>
          <w:highlight w:val="none"/>
          <w:lang w:eastAsia="zh-CN"/>
        </w:rPr>
      </w:pPr>
      <w:r>
        <w:rPr>
          <w:rFonts w:hint="eastAsia" w:ascii="Times New Roman" w:hAnsi="Times New Roman" w:eastAsia="方正仿宋_GBK" w:cs="方正仿宋_GBK"/>
          <w:b/>
          <w:bCs/>
          <w:spacing w:val="6"/>
          <w:sz w:val="32"/>
          <w:szCs w:val="32"/>
          <w:highlight w:val="none"/>
          <w:lang w:eastAsia="zh-CN"/>
        </w:rPr>
        <w:t>8.2.5 加强与当地社会、文化和环境的协调</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spacing w:val="6"/>
          <w:sz w:val="32"/>
          <w:szCs w:val="32"/>
          <w:highlight w:val="none"/>
          <w:lang w:eastAsia="zh-CN"/>
        </w:rPr>
      </w:pPr>
      <w:r>
        <w:rPr>
          <w:rFonts w:hint="eastAsia" w:ascii="Times New Roman" w:hAnsi="Times New Roman" w:eastAsia="方正仿宋_GBK" w:cs="方正仿宋_GBK"/>
          <w:spacing w:val="6"/>
          <w:sz w:val="32"/>
          <w:szCs w:val="32"/>
          <w:highlight w:val="none"/>
          <w:lang w:eastAsia="zh-CN"/>
        </w:rPr>
        <w:t>针对社会风险和政策风险，项目将加强与当地社会、文化和环境的协调。在项目实施前，充分听取当地居民的意见和建议，确保项目的实施符合当地的实际需求和期望。同时，加强与政府部门的沟通合作，确保项目符合相关法律法规和政策要求。通过加强与社会、文化和环境的协调，降低社会风险和政策风险对项目的影响。</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spacing w:val="6"/>
          <w:sz w:val="32"/>
          <w:szCs w:val="32"/>
          <w:highlight w:val="none"/>
          <w:lang w:eastAsia="zh-CN"/>
        </w:rPr>
      </w:pPr>
      <w:r>
        <w:rPr>
          <w:rFonts w:hint="eastAsia" w:ascii="Times New Roman" w:hAnsi="Times New Roman" w:eastAsia="方正仿宋_GBK" w:cs="方正仿宋_GBK"/>
          <w:spacing w:val="6"/>
          <w:sz w:val="32"/>
          <w:szCs w:val="32"/>
          <w:highlight w:val="none"/>
          <w:lang w:eastAsia="zh-CN"/>
        </w:rPr>
        <w:t>综上所述，本项目将采取多种措施应对可能面临的风险因素，确保项目的顺利实施和长期运营。同时，项目也将持续关注新的风险因素的出现，不断完善风险管理机制，提高项目的风险应对能力。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 xml:space="preserve">9 其他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无</w:t>
      </w:r>
    </w:p>
    <w:p>
      <w:pPr>
        <w:pageBreakBefore w:val="0"/>
        <w:widowControl w:val="0"/>
        <w:kinsoku/>
        <w:wordWrap/>
        <w:overflowPunct/>
        <w:topLinePunct w:val="0"/>
        <w:autoSpaceDE/>
        <w:autoSpaceDN/>
        <w:bidi w:val="0"/>
        <w:adjustRightInd/>
        <w:snapToGrid/>
        <w:spacing w:line="640" w:lineRule="exact"/>
        <w:ind w:firstLine="640" w:firstLineChars="200"/>
        <w:jc w:val="right"/>
        <w:textAlignment w:val="auto"/>
        <w:rPr>
          <w:rFonts w:hint="eastAsia" w:ascii="方正仿宋_GBK" w:hAnsi="方正仿宋_GBK" w:eastAsia="方正仿宋_GBK" w:cs="方正仿宋_GBK"/>
          <w:b w:val="0"/>
          <w:bCs/>
          <w:sz w:val="32"/>
          <w:szCs w:val="32"/>
          <w:highlight w:val="none"/>
          <w:lang w:val="en-US" w:eastAsia="zh-CN"/>
        </w:rPr>
      </w:pPr>
    </w:p>
    <w:p>
      <w:pPr>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b w:val="0"/>
          <w:bCs/>
          <w:sz w:val="32"/>
          <w:szCs w:val="32"/>
          <w:highlight w:val="none"/>
          <w:lang w:val="en-US" w:eastAsia="zh-CN"/>
        </w:rPr>
        <w:t xml:space="preserve">                           </w:t>
      </w:r>
    </w:p>
    <w:p>
      <w:pPr>
        <w:pStyle w:val="17"/>
        <w:spacing w:line="500" w:lineRule="exact"/>
        <w:ind w:firstLine="0" w:firstLineChars="0"/>
        <w:outlineLvl w:val="9"/>
        <w:rPr>
          <w:rFonts w:hint="eastAsia" w:ascii="仿宋" w:hAnsi="仿宋" w:eastAsia="仿宋" w:cs="仿宋"/>
          <w:sz w:val="32"/>
          <w:szCs w:val="32"/>
          <w:highlight w:val="none"/>
        </w:rPr>
      </w:pPr>
    </w:p>
    <w:sectPr>
      <w:footerReference r:id="rId3" w:type="default"/>
      <w:pgSz w:w="11906" w:h="16838"/>
      <w:pgMar w:top="1984" w:right="1531" w:bottom="1701" w:left="1531" w:header="851" w:footer="992" w:gutter="0"/>
      <w:pgNumType w:fmt="decimal" w:start="1"/>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HYb2gj">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4NWUxOTRmZjYzNjNiNzc1MDZlMTg3YTg4MjE4ZTQifQ=="/>
  </w:docVars>
  <w:rsids>
    <w:rsidRoot w:val="00DC3189"/>
    <w:rsid w:val="00036ACC"/>
    <w:rsid w:val="00096F1A"/>
    <w:rsid w:val="001C0158"/>
    <w:rsid w:val="00286DB6"/>
    <w:rsid w:val="00290EF7"/>
    <w:rsid w:val="0036566E"/>
    <w:rsid w:val="00407F2D"/>
    <w:rsid w:val="004B669C"/>
    <w:rsid w:val="00577A4A"/>
    <w:rsid w:val="0092513B"/>
    <w:rsid w:val="009D308B"/>
    <w:rsid w:val="00A0692A"/>
    <w:rsid w:val="00A06F97"/>
    <w:rsid w:val="00A21A15"/>
    <w:rsid w:val="00A400FD"/>
    <w:rsid w:val="00B24B29"/>
    <w:rsid w:val="00DC3189"/>
    <w:rsid w:val="00E165F2"/>
    <w:rsid w:val="020E7EB7"/>
    <w:rsid w:val="058B4156"/>
    <w:rsid w:val="066F1F85"/>
    <w:rsid w:val="0AE874FA"/>
    <w:rsid w:val="0C0C25D4"/>
    <w:rsid w:val="0CD1749B"/>
    <w:rsid w:val="0D4C5A8C"/>
    <w:rsid w:val="0EFA7204"/>
    <w:rsid w:val="10914580"/>
    <w:rsid w:val="119B192B"/>
    <w:rsid w:val="11A976A8"/>
    <w:rsid w:val="1202325C"/>
    <w:rsid w:val="13A03D4F"/>
    <w:rsid w:val="1A584B63"/>
    <w:rsid w:val="1A5E2BA5"/>
    <w:rsid w:val="1B764A72"/>
    <w:rsid w:val="1BCA524D"/>
    <w:rsid w:val="1CA77EC2"/>
    <w:rsid w:val="1CFA1F0D"/>
    <w:rsid w:val="1E8B697F"/>
    <w:rsid w:val="20743577"/>
    <w:rsid w:val="20A73BE8"/>
    <w:rsid w:val="213F1DD6"/>
    <w:rsid w:val="21480C9B"/>
    <w:rsid w:val="22AF5101"/>
    <w:rsid w:val="252D3D80"/>
    <w:rsid w:val="261A0C88"/>
    <w:rsid w:val="27066C03"/>
    <w:rsid w:val="27821093"/>
    <w:rsid w:val="2BE623C5"/>
    <w:rsid w:val="2DC66C82"/>
    <w:rsid w:val="2FB700E6"/>
    <w:rsid w:val="316A7685"/>
    <w:rsid w:val="35214120"/>
    <w:rsid w:val="357B1CE7"/>
    <w:rsid w:val="36441E85"/>
    <w:rsid w:val="37E071AC"/>
    <w:rsid w:val="3B515D01"/>
    <w:rsid w:val="3BE55DFF"/>
    <w:rsid w:val="3C6A4C8A"/>
    <w:rsid w:val="3C8D220B"/>
    <w:rsid w:val="3CEC23BE"/>
    <w:rsid w:val="3D492C17"/>
    <w:rsid w:val="3DF26BEC"/>
    <w:rsid w:val="3FAC311E"/>
    <w:rsid w:val="4279735B"/>
    <w:rsid w:val="44A35F17"/>
    <w:rsid w:val="46554DCB"/>
    <w:rsid w:val="46594145"/>
    <w:rsid w:val="4A3C32E7"/>
    <w:rsid w:val="4BAB3F44"/>
    <w:rsid w:val="4BD25714"/>
    <w:rsid w:val="4C2E58E4"/>
    <w:rsid w:val="50370DED"/>
    <w:rsid w:val="508465AB"/>
    <w:rsid w:val="50C219FC"/>
    <w:rsid w:val="529547BE"/>
    <w:rsid w:val="52A75B22"/>
    <w:rsid w:val="549E595B"/>
    <w:rsid w:val="54D77655"/>
    <w:rsid w:val="57E911AC"/>
    <w:rsid w:val="57F427FB"/>
    <w:rsid w:val="58774ABE"/>
    <w:rsid w:val="5C1E2E07"/>
    <w:rsid w:val="5F6B1911"/>
    <w:rsid w:val="5FF27A39"/>
    <w:rsid w:val="622D0D14"/>
    <w:rsid w:val="674555B8"/>
    <w:rsid w:val="68357177"/>
    <w:rsid w:val="6AEB7468"/>
    <w:rsid w:val="6BA35751"/>
    <w:rsid w:val="6C9A2BCD"/>
    <w:rsid w:val="6D012174"/>
    <w:rsid w:val="6D1A7114"/>
    <w:rsid w:val="6EF308E2"/>
    <w:rsid w:val="6FB8461B"/>
    <w:rsid w:val="6FEC6252"/>
    <w:rsid w:val="6FF73669"/>
    <w:rsid w:val="70653E76"/>
    <w:rsid w:val="70AB3234"/>
    <w:rsid w:val="71420536"/>
    <w:rsid w:val="71E46B34"/>
    <w:rsid w:val="72B77607"/>
    <w:rsid w:val="730B114E"/>
    <w:rsid w:val="737850A4"/>
    <w:rsid w:val="73FB1F3F"/>
    <w:rsid w:val="74F85C2C"/>
    <w:rsid w:val="7645046A"/>
    <w:rsid w:val="771551C3"/>
    <w:rsid w:val="77D03C69"/>
    <w:rsid w:val="78D10FFD"/>
    <w:rsid w:val="7AAE4548"/>
    <w:rsid w:val="7F5F37BA"/>
    <w:rsid w:val="7FC70A09"/>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9"/>
    <w:pPr>
      <w:keepNext/>
      <w:keepLines/>
      <w:spacing w:before="340" w:after="330" w:line="578" w:lineRule="auto"/>
      <w:outlineLvl w:val="0"/>
    </w:pPr>
    <w:rPr>
      <w:rFonts w:ascii="Times New Roman" w:hAnsi="Times New Roman" w:eastAsia="黑体" w:cs="Arial"/>
      <w:b/>
      <w:bCs/>
      <w:kern w:val="44"/>
      <w:sz w:val="28"/>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阳"/>
    <w:basedOn w:val="1"/>
    <w:qFormat/>
    <w:uiPriority w:val="99"/>
    <w:pPr>
      <w:spacing w:line="570" w:lineRule="exact"/>
      <w:ind w:firstLine="640" w:firstLineChars="200"/>
      <w:jc w:val="left"/>
    </w:pPr>
    <w:rPr>
      <w:rFonts w:ascii="仿宋" w:hAnsi="仿宋" w:eastAsia="方正仿宋_GBK"/>
      <w:spacing w:val="1"/>
    </w:rPr>
  </w:style>
  <w:style w:type="paragraph" w:styleId="6">
    <w:name w:val="annotation text"/>
    <w:basedOn w:val="1"/>
    <w:semiHidden/>
    <w:unhideWhenUsed/>
    <w:qFormat/>
    <w:uiPriority w:val="99"/>
    <w:pPr>
      <w:jc w:val="left"/>
    </w:pPr>
  </w:style>
  <w:style w:type="paragraph" w:styleId="7">
    <w:name w:val="Body Text"/>
    <w:basedOn w:val="1"/>
    <w:next w:val="1"/>
    <w:qFormat/>
    <w:uiPriority w:val="1"/>
    <w:pPr>
      <w:spacing w:before="214"/>
      <w:ind w:left="220"/>
      <w:jc w:val="left"/>
    </w:pPr>
    <w:rPr>
      <w:rFonts w:ascii="仿宋" w:hAnsi="仿宋" w:cs="仿宋"/>
      <w:szCs w:val="32"/>
      <w:lang w:val="zh-CN" w:bidi="zh-CN"/>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character" w:customStyle="1" w:styleId="16">
    <w:name w:val="标题 1 字符"/>
    <w:basedOn w:val="14"/>
    <w:link w:val="3"/>
    <w:qFormat/>
    <w:uiPriority w:val="9"/>
    <w:rPr>
      <w:rFonts w:ascii="Times New Roman" w:hAnsi="Times New Roman" w:eastAsia="黑体" w:cs="Arial"/>
      <w:b/>
      <w:bCs/>
      <w:kern w:val="44"/>
      <w:sz w:val="28"/>
      <w:szCs w:val="44"/>
    </w:rPr>
  </w:style>
  <w:style w:type="paragraph" w:customStyle="1" w:styleId="17">
    <w:name w:val="列表段落1"/>
    <w:basedOn w:val="1"/>
    <w:qFormat/>
    <w:uiPriority w:val="34"/>
    <w:pPr>
      <w:ind w:firstLine="420" w:firstLineChars="200"/>
    </w:pPr>
  </w:style>
  <w:style w:type="character" w:customStyle="1" w:styleId="18">
    <w:name w:val="页眉 字符"/>
    <w:basedOn w:val="14"/>
    <w:link w:val="9"/>
    <w:qFormat/>
    <w:uiPriority w:val="99"/>
    <w:rPr>
      <w:sz w:val="18"/>
      <w:szCs w:val="18"/>
    </w:rPr>
  </w:style>
  <w:style w:type="character" w:customStyle="1" w:styleId="19">
    <w:name w:val="页脚 字符"/>
    <w:basedOn w:val="14"/>
    <w:link w:val="8"/>
    <w:qFormat/>
    <w:uiPriority w:val="99"/>
    <w:rPr>
      <w:sz w:val="18"/>
      <w:szCs w:val="18"/>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paragraph" w:customStyle="1" w:styleId="22">
    <w:name w:val="Heading3"/>
    <w:basedOn w:val="1"/>
    <w:next w:val="1"/>
    <w:qFormat/>
    <w:uiPriority w:val="0"/>
    <w:pPr>
      <w:spacing w:before="100" w:beforeAutospacing="1" w:after="100" w:afterAutospacing="1" w:line="520" w:lineRule="exact"/>
      <w:jc w:val="both"/>
      <w:textAlignment w:val="baseline"/>
    </w:pPr>
    <w:rPr>
      <w:rFonts w:ascii="宋体" w:hAnsi="Times New Roman" w:eastAsia="宋体"/>
      <w:b/>
      <w:kern w:val="2"/>
      <w:sz w:val="27"/>
      <w:szCs w:val="27"/>
      <w:lang w:val="en-US" w:eastAsia="zh-CN" w:bidi="ar-SA"/>
    </w:r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9298</Words>
  <Characters>9783</Characters>
  <Lines>21</Lines>
  <Paragraphs>6</Paragraphs>
  <TotalTime>37</TotalTime>
  <ScaleCrop>false</ScaleCrop>
  <LinksUpToDate>false</LinksUpToDate>
  <CharactersWithSpaces>9857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2020-01-26T00:42:00Z</dcterms:created>
  <dc:creator>ThinkPad</dc:creator>
  <cp:lastModifiedBy>Administrator</cp:lastModifiedBy>
  <cp:lastPrinted>2024-04-22T02:38:00Z</cp:lastPrinted>
  <dcterms:modified xsi:type="dcterms:W3CDTF">2024-04-25T10:37:29Z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7F3FD6A5D7C640E29B94E532251243C1_13</vt:lpwstr>
  </property>
</Properties>
</file>