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r>
        <w:rPr>
          <w:rFonts w:hint="eastAsia" w:ascii="仿宋" w:hAnsi="仿宋" w:eastAsia="仿宋" w:cs="仿宋"/>
          <w:spacing w:val="6"/>
          <w:sz w:val="44"/>
          <w:szCs w:val="44"/>
          <w:lang w:eastAsia="zh-CN"/>
        </w:rPr>
        <w:t>麦盖提县吐曼塔勒乡产业发展配套道路建设2024年中央财政以工代赈项目</w:t>
      </w: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p>
    <w:p>
      <w:pPr>
        <w:pageBreakBefore w:val="0"/>
        <w:kinsoku/>
        <w:wordWrap/>
        <w:overflowPunct/>
        <w:topLinePunct w:val="0"/>
        <w:bidi w:val="0"/>
        <w:snapToGrid w:val="0"/>
        <w:spacing w:line="570" w:lineRule="exact"/>
        <w:ind w:left="0" w:leftChars="0" w:firstLine="0" w:firstLineChars="0"/>
        <w:jc w:val="center"/>
        <w:textAlignment w:val="baseline"/>
        <w:rPr>
          <w:rFonts w:hint="eastAsia" w:ascii="仿宋" w:hAnsi="仿宋" w:eastAsia="仿宋" w:cs="仿宋"/>
          <w:spacing w:val="6"/>
          <w:sz w:val="52"/>
          <w:szCs w:val="52"/>
        </w:rPr>
      </w:pPr>
      <w:r>
        <w:rPr>
          <w:rFonts w:hint="eastAsia" w:ascii="仿宋" w:hAnsi="仿宋" w:eastAsia="仿宋" w:cs="仿宋"/>
          <w:spacing w:val="6"/>
          <w:sz w:val="52"/>
          <w:szCs w:val="52"/>
        </w:rPr>
        <w:t>实施方案</w:t>
      </w: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Style w:val="2"/>
        <w:pageBreakBefore w:val="0"/>
        <w:kinsoku/>
        <w:wordWrap/>
        <w:overflowPunct/>
        <w:topLinePunct w:val="0"/>
        <w:bidi w:val="0"/>
        <w:spacing w:line="570" w:lineRule="exact"/>
        <w:rPr>
          <w:rFonts w:hint="eastAsia" w:ascii="仿宋" w:hAnsi="仿宋" w:eastAsia="仿宋" w:cs="仿宋"/>
          <w:spacing w:val="6"/>
          <w:sz w:val="44"/>
          <w:szCs w:val="44"/>
        </w:rPr>
      </w:pPr>
    </w:p>
    <w:p>
      <w:pPr>
        <w:pageBreakBefore w:val="0"/>
        <w:kinsoku/>
        <w:wordWrap/>
        <w:overflowPunct/>
        <w:topLinePunct w:val="0"/>
        <w:bidi w:val="0"/>
        <w:snapToGrid w:val="0"/>
        <w:spacing w:line="570" w:lineRule="exact"/>
        <w:ind w:left="2630" w:leftChars="304" w:hanging="1992" w:hangingChars="6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麦盖提县吐曼塔勒乡产业发展配套道路建设2024年中央财政以工代赈项目</w:t>
      </w:r>
    </w:p>
    <w:p>
      <w:pPr>
        <w:pageBreakBefore w:val="0"/>
        <w:kinsoku/>
        <w:wordWrap/>
        <w:overflowPunct/>
        <w:topLinePunct w:val="0"/>
        <w:bidi w:val="0"/>
        <w:snapToGrid w:val="0"/>
        <w:spacing w:line="570" w:lineRule="exact"/>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w:t>
      </w:r>
      <w:r>
        <w:rPr>
          <w:rFonts w:hint="eastAsia" w:ascii="仿宋" w:hAnsi="仿宋" w:eastAsia="仿宋" w:cs="仿宋"/>
          <w:spacing w:val="6"/>
          <w:sz w:val="32"/>
          <w:szCs w:val="32"/>
          <w:lang w:eastAsia="zh-CN"/>
        </w:rPr>
        <w:t>监督</w:t>
      </w:r>
      <w:r>
        <w:rPr>
          <w:rFonts w:hint="eastAsia" w:ascii="仿宋" w:hAnsi="仿宋" w:eastAsia="仿宋" w:cs="仿宋"/>
          <w:spacing w:val="6"/>
          <w:sz w:val="32"/>
          <w:szCs w:val="32"/>
        </w:rPr>
        <w:t>单位：麦盖提县交通运输局</w:t>
      </w:r>
    </w:p>
    <w:p>
      <w:pPr>
        <w:pageBreakBefore w:val="0"/>
        <w:kinsoku/>
        <w:wordWrap/>
        <w:overflowPunct/>
        <w:topLinePunct w:val="0"/>
        <w:bidi w:val="0"/>
        <w:snapToGrid w:val="0"/>
        <w:spacing w:line="570" w:lineRule="exact"/>
        <w:textAlignment w:val="baseline"/>
        <w:rPr>
          <w:rFonts w:hint="eastAsia" w:ascii="仿宋" w:hAnsi="仿宋" w:eastAsia="仿宋" w:cs="仿宋"/>
          <w:color w:val="000000"/>
          <w:spacing w:val="6"/>
          <w:sz w:val="30"/>
          <w:szCs w:val="30"/>
        </w:rPr>
      </w:pPr>
      <w:r>
        <w:rPr>
          <w:rFonts w:hint="eastAsia" w:ascii="仿宋" w:hAnsi="仿宋" w:eastAsia="仿宋" w:cs="仿宋"/>
          <w:spacing w:val="6"/>
          <w:sz w:val="32"/>
          <w:szCs w:val="32"/>
        </w:rPr>
        <w:t>项目实施单位：</w:t>
      </w:r>
      <w:r>
        <w:rPr>
          <w:rFonts w:hint="eastAsia" w:ascii="仿宋" w:hAnsi="仿宋" w:eastAsia="仿宋" w:cs="仿宋"/>
          <w:color w:val="000000"/>
          <w:spacing w:val="6"/>
          <w:sz w:val="30"/>
          <w:szCs w:val="30"/>
        </w:rPr>
        <w:t>麦盖提县农村公路建设养护所</w:t>
      </w:r>
    </w:p>
    <w:p>
      <w:pPr>
        <w:pStyle w:val="2"/>
        <w:pageBreakBefore w:val="0"/>
        <w:kinsoku/>
        <w:wordWrap/>
        <w:overflowPunct/>
        <w:topLinePunct w:val="0"/>
        <w:bidi w:val="0"/>
        <w:spacing w:line="570" w:lineRule="exact"/>
        <w:rPr>
          <w:rFonts w:hint="eastAsia" w:ascii="仿宋" w:hAnsi="仿宋" w:eastAsia="仿宋" w:cs="仿宋"/>
          <w:spacing w:val="6"/>
          <w:sz w:val="32"/>
          <w:szCs w:val="32"/>
        </w:rPr>
      </w:pPr>
      <w:r>
        <w:rPr>
          <w:rFonts w:hint="eastAsia" w:ascii="仿宋" w:hAnsi="仿宋" w:eastAsia="仿宋" w:cs="仿宋"/>
          <w:spacing w:val="6"/>
          <w:sz w:val="32"/>
          <w:szCs w:val="32"/>
        </w:rPr>
        <w:t>编制</w:t>
      </w:r>
      <w:r>
        <w:rPr>
          <w:rFonts w:hint="eastAsia" w:ascii="仿宋" w:hAnsi="仿宋" w:eastAsia="仿宋" w:cs="仿宋"/>
          <w:spacing w:val="6"/>
          <w:sz w:val="32"/>
          <w:szCs w:val="32"/>
          <w:lang w:eastAsia="zh-CN"/>
        </w:rPr>
        <w:t>单位：</w:t>
      </w:r>
      <w:r>
        <w:rPr>
          <w:rFonts w:hint="eastAsia" w:ascii="仿宋" w:hAnsi="仿宋" w:eastAsia="仿宋" w:cs="仿宋"/>
          <w:color w:val="000000"/>
          <w:spacing w:val="6"/>
          <w:kern w:val="2"/>
          <w:sz w:val="30"/>
          <w:szCs w:val="30"/>
          <w:lang w:val="en-US" w:eastAsia="zh-CN" w:bidi="ar-SA"/>
        </w:rPr>
        <w:t>乌鲁木齐中建广通勘察设计有限公司</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44"/>
          <w:szCs w:val="44"/>
        </w:rPr>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titlePg/>
          <w:docGrid w:linePitch="286" w:charSpace="0"/>
        </w:sectPr>
      </w:pPr>
      <w:r>
        <w:rPr>
          <w:rFonts w:hint="eastAsia" w:ascii="仿宋" w:hAnsi="仿宋" w:eastAsia="仿宋" w:cs="仿宋"/>
          <w:spacing w:val="6"/>
          <w:sz w:val="32"/>
          <w:szCs w:val="32"/>
        </w:rPr>
        <w:t>编制时间：202</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8月</w:t>
      </w:r>
    </w:p>
    <w:p>
      <w:pPr>
        <w:pageBreakBefore w:val="0"/>
        <w:kinsoku/>
        <w:wordWrap/>
        <w:overflowPunct/>
        <w:topLinePunct w:val="0"/>
        <w:bidi w:val="0"/>
        <w:spacing w:before="0" w:beforeLines="0" w:after="0" w:afterLines="0" w:line="570" w:lineRule="exact"/>
        <w:ind w:left="0" w:leftChars="0" w:right="0" w:rightChars="0" w:firstLine="0" w:firstLineChars="0"/>
        <w:jc w:val="center"/>
        <w:rPr>
          <w:rFonts w:hint="eastAsia" w:ascii="仿宋" w:hAnsi="仿宋" w:eastAsia="仿宋" w:cs="仿宋"/>
          <w:sz w:val="44"/>
          <w:szCs w:val="48"/>
        </w:rPr>
      </w:pPr>
      <w:r>
        <w:rPr>
          <w:rFonts w:hint="eastAsia" w:ascii="仿宋" w:hAnsi="仿宋" w:eastAsia="仿宋" w:cs="仿宋"/>
          <w:sz w:val="44"/>
          <w:szCs w:val="48"/>
        </w:rPr>
        <w:t>目录</w:t>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_Toc20805 </w:instrText>
      </w:r>
      <w:r>
        <w:rPr>
          <w:rFonts w:hint="eastAsia" w:ascii="仿宋" w:hAnsi="仿宋" w:eastAsia="仿宋" w:cs="仿宋"/>
        </w:rPr>
        <w:fldChar w:fldCharType="separate"/>
      </w:r>
      <w:r>
        <w:rPr>
          <w:rFonts w:hint="eastAsia" w:ascii="仿宋" w:hAnsi="仿宋" w:eastAsia="仿宋" w:cs="仿宋"/>
          <w:bCs/>
          <w:spacing w:val="6"/>
          <w:szCs w:val="36"/>
          <w:lang w:eastAsia="zh-CN"/>
        </w:rPr>
        <w:t>一、概述</w:t>
      </w:r>
      <w:r>
        <w:tab/>
      </w:r>
      <w:r>
        <w:fldChar w:fldCharType="begin"/>
      </w:r>
      <w:r>
        <w:instrText xml:space="preserve"> PAGEREF _Toc20805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_Toc18995 </w:instrText>
      </w:r>
      <w:r>
        <w:rPr>
          <w:rFonts w:hint="eastAsia" w:ascii="仿宋" w:hAnsi="仿宋" w:eastAsia="仿宋" w:cs="仿宋"/>
        </w:rPr>
        <w:fldChar w:fldCharType="separate"/>
      </w:r>
      <w:r>
        <w:rPr>
          <w:rFonts w:hint="eastAsia" w:ascii="仿宋" w:hAnsi="仿宋" w:eastAsia="仿宋" w:cs="仿宋"/>
          <w:bCs/>
          <w:spacing w:val="6"/>
          <w:szCs w:val="32"/>
          <w:lang w:eastAsia="zh-CN"/>
        </w:rPr>
        <w:t xml:space="preserve">（一） </w:t>
      </w:r>
      <w:r>
        <w:rPr>
          <w:rFonts w:hint="eastAsia" w:ascii="仿宋" w:hAnsi="仿宋" w:eastAsia="仿宋" w:cs="仿宋"/>
          <w:bCs/>
          <w:spacing w:val="6"/>
          <w:szCs w:val="32"/>
        </w:rPr>
        <w:t>项目</w:t>
      </w:r>
      <w:r>
        <w:rPr>
          <w:rFonts w:hint="eastAsia" w:ascii="仿宋" w:hAnsi="仿宋" w:eastAsia="仿宋" w:cs="仿宋"/>
          <w:bCs/>
          <w:spacing w:val="6"/>
          <w:szCs w:val="32"/>
          <w:lang w:eastAsia="zh-CN"/>
        </w:rPr>
        <w:t>概况</w:t>
      </w:r>
      <w:r>
        <w:tab/>
      </w:r>
      <w:r>
        <w:fldChar w:fldCharType="begin"/>
      </w:r>
      <w:r>
        <w:instrText xml:space="preserve"> PAGEREF _Toc18995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_Toc25000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 编制依据</w:t>
      </w:r>
      <w:r>
        <w:tab/>
      </w:r>
      <w:r>
        <w:fldChar w:fldCharType="begin"/>
      </w:r>
      <w:r>
        <w:instrText xml:space="preserve"> PAGEREF _Toc25000 \h </w:instrText>
      </w:r>
      <w:r>
        <w:fldChar w:fldCharType="separate"/>
      </w:r>
      <w:r>
        <w:t>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_Toc4544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 主要结论和建议</w:t>
      </w:r>
      <w:r>
        <w:tab/>
      </w:r>
      <w:r>
        <w:fldChar w:fldCharType="begin"/>
      </w:r>
      <w:r>
        <w:instrText xml:space="preserve"> PAGEREF _Toc4544 \h </w:instrText>
      </w:r>
      <w:r>
        <w:fldChar w:fldCharType="separate"/>
      </w:r>
      <w:r>
        <w:t>1</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_Toc26242 </w:instrText>
      </w:r>
      <w:r>
        <w:rPr>
          <w:rFonts w:hint="eastAsia" w:ascii="仿宋" w:hAnsi="仿宋" w:eastAsia="仿宋" w:cs="仿宋"/>
        </w:rPr>
        <w:fldChar w:fldCharType="separate"/>
      </w:r>
      <w:r>
        <w:rPr>
          <w:rFonts w:hint="eastAsia" w:ascii="仿宋" w:hAnsi="仿宋" w:eastAsia="仿宋" w:cs="仿宋"/>
          <w:bCs/>
          <w:spacing w:val="6"/>
          <w:szCs w:val="36"/>
          <w:lang w:eastAsia="zh-CN"/>
        </w:rPr>
        <w:t>二、项目建设背景和必要性</w:t>
      </w:r>
      <w:r>
        <w:tab/>
      </w:r>
      <w:r>
        <w:fldChar w:fldCharType="begin"/>
      </w:r>
      <w:r>
        <w:instrText xml:space="preserve"> PAGEREF _Toc26242 \h </w:instrText>
      </w:r>
      <w:r>
        <w:fldChar w:fldCharType="separate"/>
      </w:r>
      <w:r>
        <w:t>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_Toc8142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（一）项目建设背景</w:t>
      </w:r>
      <w:r>
        <w:tab/>
      </w:r>
      <w:r>
        <w:fldChar w:fldCharType="begin"/>
      </w:r>
      <w:r>
        <w:instrText xml:space="preserve"> PAGEREF _Toc8142 \h </w:instrText>
      </w:r>
      <w:r>
        <w:fldChar w:fldCharType="separate"/>
      </w:r>
      <w:r>
        <w:t>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_Toc22818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（二）规划政策符合性</w:t>
      </w:r>
      <w:r>
        <w:tab/>
      </w:r>
      <w:r>
        <w:fldChar w:fldCharType="begin"/>
      </w:r>
      <w:r>
        <w:instrText xml:space="preserve"> PAGEREF _Toc22818 \h </w:instrText>
      </w:r>
      <w:r>
        <w:fldChar w:fldCharType="separate"/>
      </w:r>
      <w:r>
        <w:t>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_Toc6571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（三）项目建设必要性</w:t>
      </w:r>
      <w:r>
        <w:tab/>
      </w:r>
      <w:r>
        <w:fldChar w:fldCharType="begin"/>
      </w:r>
      <w:r>
        <w:instrText xml:space="preserve"> PAGEREF _Toc6571 \h </w:instrText>
      </w:r>
      <w:r>
        <w:fldChar w:fldCharType="separate"/>
      </w:r>
      <w:r>
        <w:t>4</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_Toc32244 </w:instrText>
      </w:r>
      <w:r>
        <w:rPr>
          <w:rFonts w:hint="eastAsia" w:ascii="仿宋" w:hAnsi="仿宋" w:eastAsia="仿宋" w:cs="仿宋"/>
        </w:rPr>
        <w:fldChar w:fldCharType="separate"/>
      </w:r>
      <w:r>
        <w:rPr>
          <w:rFonts w:hint="eastAsia" w:ascii="仿宋" w:hAnsi="仿宋" w:eastAsia="仿宋" w:cs="仿宋"/>
          <w:bCs/>
          <w:spacing w:val="6"/>
          <w:szCs w:val="36"/>
          <w:lang w:eastAsia="zh-CN"/>
        </w:rPr>
        <w:t>三、项目需求分析与产出方案</w:t>
      </w:r>
      <w:r>
        <w:tab/>
      </w:r>
      <w:r>
        <w:fldChar w:fldCharType="begin"/>
      </w:r>
      <w:r>
        <w:instrText xml:space="preserve"> PAGEREF _Toc32244 \h </w:instrText>
      </w:r>
      <w:r>
        <w:fldChar w:fldCharType="separate"/>
      </w:r>
      <w:r>
        <w:t>4</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_Toc23838 </w:instrText>
      </w:r>
      <w:r>
        <w:rPr>
          <w:rFonts w:hint="eastAsia" w:ascii="仿宋" w:hAnsi="仿宋" w:eastAsia="仿宋" w:cs="仿宋"/>
        </w:rPr>
        <w:fldChar w:fldCharType="separate"/>
      </w:r>
      <w:r>
        <w:rPr>
          <w:rFonts w:hint="eastAsia" w:ascii="仿宋" w:hAnsi="仿宋" w:eastAsia="仿宋" w:cs="仿宋"/>
          <w:bCs/>
          <w:spacing w:val="6"/>
          <w:szCs w:val="36"/>
          <w:lang w:eastAsia="zh-CN"/>
        </w:rPr>
        <w:t>四、 项目选址与要素保障</w:t>
      </w:r>
      <w:r>
        <w:tab/>
      </w:r>
      <w:r>
        <w:fldChar w:fldCharType="begin"/>
      </w:r>
      <w:r>
        <w:instrText xml:space="preserve"> PAGEREF _Toc23838 \h </w:instrText>
      </w:r>
      <w:r>
        <w:fldChar w:fldCharType="separate"/>
      </w:r>
      <w:r>
        <w:t>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_Toc25216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（一）项目选址</w:t>
      </w:r>
      <w:r>
        <w:tab/>
      </w:r>
      <w:r>
        <w:fldChar w:fldCharType="begin"/>
      </w:r>
      <w:r>
        <w:instrText xml:space="preserve"> PAGEREF _Toc25216 \h </w:instrText>
      </w:r>
      <w:r>
        <w:fldChar w:fldCharType="separate"/>
      </w:r>
      <w:r>
        <w:t>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_Toc21735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（二）项目建设条件</w:t>
      </w:r>
      <w:r>
        <w:tab/>
      </w:r>
      <w:r>
        <w:fldChar w:fldCharType="begin"/>
      </w:r>
      <w:r>
        <w:instrText xml:space="preserve"> PAGEREF _Toc21735 \h </w:instrText>
      </w:r>
      <w:r>
        <w:fldChar w:fldCharType="separate"/>
      </w:r>
      <w:r>
        <w:t>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_Toc29821 </w:instrText>
      </w:r>
      <w:r>
        <w:rPr>
          <w:rFonts w:hint="eastAsia" w:ascii="仿宋" w:hAnsi="仿宋" w:eastAsia="仿宋" w:cs="仿宋"/>
        </w:rPr>
        <w:fldChar w:fldCharType="separate"/>
      </w:r>
      <w:r>
        <w:rPr>
          <w:rFonts w:hint="eastAsia" w:ascii="仿宋" w:hAnsi="仿宋" w:eastAsia="仿宋" w:cs="仿宋"/>
          <w:bCs/>
          <w:spacing w:val="6"/>
          <w:szCs w:val="36"/>
          <w:lang w:eastAsia="zh-CN"/>
        </w:rPr>
        <w:t>五、 项目建设方案</w:t>
      </w:r>
      <w:r>
        <w:tab/>
      </w:r>
      <w:r>
        <w:fldChar w:fldCharType="begin"/>
      </w:r>
      <w:r>
        <w:instrText xml:space="preserve"> PAGEREF _Toc29821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_Toc30222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（一）技术方案</w:t>
      </w:r>
      <w:r>
        <w:tab/>
      </w:r>
      <w:r>
        <w:fldChar w:fldCharType="begin"/>
      </w:r>
      <w:r>
        <w:instrText xml:space="preserve"> PAGEREF _Toc30222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_Toc16975 </w:instrText>
      </w:r>
      <w:r>
        <w:rPr>
          <w:rFonts w:hint="eastAsia" w:ascii="仿宋" w:hAnsi="仿宋" w:eastAsia="仿宋" w:cs="仿宋"/>
        </w:rPr>
        <w:fldChar w:fldCharType="separate"/>
      </w:r>
      <w:r>
        <w:rPr>
          <w:rFonts w:hint="eastAsia" w:ascii="仿宋" w:hAnsi="仿宋" w:eastAsia="仿宋" w:cs="仿宋"/>
          <w:bCs w:val="0"/>
          <w:spacing w:val="6"/>
          <w:szCs w:val="32"/>
        </w:rPr>
        <w:t>1</w:t>
      </w:r>
      <w:r>
        <w:rPr>
          <w:rFonts w:hint="eastAsia" w:ascii="仿宋" w:hAnsi="仿宋" w:eastAsia="仿宋" w:cs="仿宋"/>
          <w:bCs w:val="0"/>
          <w:spacing w:val="6"/>
          <w:szCs w:val="32"/>
          <w:lang w:eastAsia="zh-CN"/>
        </w:rPr>
        <w:t>、</w:t>
      </w:r>
      <w:r>
        <w:rPr>
          <w:rFonts w:hint="eastAsia" w:ascii="仿宋" w:hAnsi="仿宋" w:eastAsia="仿宋" w:cs="仿宋"/>
          <w:bCs w:val="0"/>
          <w:spacing w:val="6"/>
          <w:szCs w:val="32"/>
        </w:rPr>
        <w:t>项目设计（技术依据）</w:t>
      </w:r>
      <w:r>
        <w:tab/>
      </w:r>
      <w:r>
        <w:fldChar w:fldCharType="begin"/>
      </w:r>
      <w:r>
        <w:instrText xml:space="preserve"> PAGEREF _Toc16975 \h </w:instrText>
      </w:r>
      <w:r>
        <w:fldChar w:fldCharType="separate"/>
      </w:r>
      <w:r>
        <w:t>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_Toc21726 </w:instrText>
      </w:r>
      <w:r>
        <w:rPr>
          <w:rFonts w:hint="eastAsia" w:ascii="仿宋" w:hAnsi="仿宋" w:eastAsia="仿宋" w:cs="仿宋"/>
        </w:rPr>
        <w:fldChar w:fldCharType="separate"/>
      </w:r>
      <w:r>
        <w:rPr>
          <w:rFonts w:hint="eastAsia" w:ascii="仿宋" w:hAnsi="仿宋" w:eastAsia="仿宋" w:cs="仿宋"/>
          <w:spacing w:val="6"/>
          <w:szCs w:val="32"/>
          <w:lang w:val="en-US" w:eastAsia="zh-CN"/>
        </w:rPr>
        <w:t>2、</w:t>
      </w:r>
      <w:r>
        <w:rPr>
          <w:rFonts w:hint="eastAsia" w:ascii="仿宋" w:hAnsi="仿宋" w:eastAsia="仿宋" w:cs="仿宋"/>
          <w:spacing w:val="6"/>
          <w:szCs w:val="32"/>
        </w:rPr>
        <w:t>建设内容、规模、标准、投资设计等明细资料</w:t>
      </w:r>
      <w:r>
        <w:tab/>
      </w:r>
      <w:r>
        <w:fldChar w:fldCharType="begin"/>
      </w:r>
      <w:r>
        <w:instrText xml:space="preserve"> PAGEREF _Toc21726 \h </w:instrText>
      </w:r>
      <w:r>
        <w:fldChar w:fldCharType="separate"/>
      </w:r>
      <w:r>
        <w:t>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_Toc14509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（二）工程方案</w:t>
      </w:r>
      <w:r>
        <w:tab/>
      </w:r>
      <w:r>
        <w:fldChar w:fldCharType="begin"/>
      </w:r>
      <w:r>
        <w:instrText xml:space="preserve"> PAGEREF _Toc14509 \h </w:instrText>
      </w:r>
      <w:r>
        <w:fldChar w:fldCharType="separate"/>
      </w:r>
      <w:r>
        <w:t>10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_Toc30332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rPr>
        <w:t>项目实施进度计划</w:t>
      </w:r>
      <w:r>
        <w:tab/>
      </w:r>
      <w:r>
        <w:fldChar w:fldCharType="begin"/>
      </w:r>
      <w:r>
        <w:instrText xml:space="preserve"> PAGEREF _Toc30332 \h </w:instrText>
      </w:r>
      <w:r>
        <w:fldChar w:fldCharType="separate"/>
      </w:r>
      <w:r>
        <w:t>10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_Toc3652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2、招标方案</w:t>
      </w:r>
      <w:r>
        <w:tab/>
      </w:r>
      <w:r>
        <w:fldChar w:fldCharType="begin"/>
      </w:r>
      <w:r>
        <w:instrText xml:space="preserve"> PAGEREF _Toc3652 \h </w:instrText>
      </w:r>
      <w:r>
        <w:fldChar w:fldCharType="separate"/>
      </w:r>
      <w:r>
        <w:t>11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_Toc27774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3、项目公告公示</w:t>
      </w:r>
      <w:r>
        <w:tab/>
      </w:r>
      <w:r>
        <w:fldChar w:fldCharType="begin"/>
      </w:r>
      <w:r>
        <w:instrText xml:space="preserve"> PAGEREF _Toc27774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_Toc21898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（三）建设管理方案</w:t>
      </w:r>
      <w:r>
        <w:tab/>
      </w:r>
      <w:r>
        <w:fldChar w:fldCharType="begin"/>
      </w:r>
      <w:r>
        <w:instrText xml:space="preserve"> PAGEREF _Toc21898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_Toc29165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rPr>
        <w:t>项目管理、监督检查制度</w:t>
      </w:r>
      <w:r>
        <w:tab/>
      </w:r>
      <w:r>
        <w:fldChar w:fldCharType="begin"/>
      </w:r>
      <w:r>
        <w:instrText xml:space="preserve"> PAGEREF _Toc29165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_Toc11811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2、</w:t>
      </w:r>
      <w:r>
        <w:rPr>
          <w:rFonts w:hint="eastAsia" w:ascii="仿宋" w:hAnsi="仿宋" w:eastAsia="仿宋" w:cs="仿宋"/>
          <w:bCs w:val="0"/>
          <w:spacing w:val="6"/>
          <w:szCs w:val="32"/>
        </w:rPr>
        <w:t>验收管理</w:t>
      </w:r>
      <w:r>
        <w:tab/>
      </w:r>
      <w:r>
        <w:fldChar w:fldCharType="begin"/>
      </w:r>
      <w:r>
        <w:instrText xml:space="preserve"> PAGEREF _Toc11811 \h </w:instrText>
      </w:r>
      <w:r>
        <w:fldChar w:fldCharType="separate"/>
      </w:r>
      <w:r>
        <w:t>12</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_Toc15760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3、</w:t>
      </w:r>
      <w:r>
        <w:rPr>
          <w:rFonts w:hint="eastAsia" w:ascii="仿宋" w:hAnsi="仿宋" w:eastAsia="仿宋" w:cs="仿宋"/>
          <w:bCs w:val="0"/>
          <w:spacing w:val="6"/>
          <w:szCs w:val="32"/>
        </w:rPr>
        <w:t>运营模式和运营管理</w:t>
      </w:r>
      <w:r>
        <w:tab/>
      </w:r>
      <w:r>
        <w:fldChar w:fldCharType="begin"/>
      </w:r>
      <w:r>
        <w:instrText xml:space="preserve"> PAGEREF _Toc15760 \h </w:instrText>
      </w:r>
      <w:r>
        <w:fldChar w:fldCharType="separate"/>
      </w:r>
      <w:r>
        <w:t>12</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_Toc6796 </w:instrText>
      </w:r>
      <w:r>
        <w:rPr>
          <w:rFonts w:hint="eastAsia" w:ascii="仿宋" w:hAnsi="仿宋" w:eastAsia="仿宋" w:cs="仿宋"/>
        </w:rPr>
        <w:fldChar w:fldCharType="separate"/>
      </w:r>
      <w:r>
        <w:rPr>
          <w:rFonts w:hint="eastAsia" w:ascii="仿宋" w:hAnsi="仿宋" w:eastAsia="仿宋" w:cs="仿宋"/>
          <w:bCs/>
          <w:spacing w:val="6"/>
          <w:szCs w:val="36"/>
          <w:lang w:eastAsia="zh-CN"/>
        </w:rPr>
        <w:t>六、 总投资及资金筹措</w:t>
      </w:r>
      <w:r>
        <w:tab/>
      </w:r>
      <w:r>
        <w:fldChar w:fldCharType="begin"/>
      </w:r>
      <w:r>
        <w:instrText xml:space="preserve"> PAGEREF _Toc6796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_Toc7039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（一）工程概况</w:t>
      </w:r>
      <w:r>
        <w:tab/>
      </w:r>
      <w:r>
        <w:fldChar w:fldCharType="begin"/>
      </w:r>
      <w:r>
        <w:instrText xml:space="preserve"> PAGEREF _Toc7039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_Toc25567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（二）编制依据及有关规定</w:t>
      </w:r>
      <w:r>
        <w:tab/>
      </w:r>
      <w:r>
        <w:fldChar w:fldCharType="begin"/>
      </w:r>
      <w:r>
        <w:instrText xml:space="preserve"> PAGEREF _Toc25567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_Toc12357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（三）工程估算</w:t>
      </w:r>
      <w:r>
        <w:tab/>
      </w:r>
      <w:r>
        <w:fldChar w:fldCharType="begin"/>
      </w:r>
      <w:r>
        <w:instrText xml:space="preserve"> PAGEREF _Toc12357 \h </w:instrText>
      </w:r>
      <w:r>
        <w:fldChar w:fldCharType="separate"/>
      </w:r>
      <w:r>
        <w:t>13</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_Toc1260 </w:instrText>
      </w:r>
      <w:r>
        <w:rPr>
          <w:rFonts w:hint="eastAsia" w:ascii="仿宋" w:hAnsi="仿宋" w:eastAsia="仿宋" w:cs="仿宋"/>
        </w:rPr>
        <w:fldChar w:fldCharType="separate"/>
      </w:r>
      <w:r>
        <w:rPr>
          <w:rFonts w:hint="eastAsia" w:ascii="仿宋" w:hAnsi="仿宋" w:eastAsia="仿宋" w:cs="仿宋"/>
          <w:bCs/>
          <w:spacing w:val="6"/>
          <w:szCs w:val="32"/>
          <w:lang w:eastAsia="zh-CN"/>
        </w:rPr>
        <w:t>（四）总投资及资金筹措方案</w:t>
      </w:r>
      <w:r>
        <w:tab/>
      </w:r>
      <w:r>
        <w:fldChar w:fldCharType="begin"/>
      </w:r>
      <w:r>
        <w:instrText xml:space="preserve"> PAGEREF _Toc1260 \h </w:instrText>
      </w:r>
      <w:r>
        <w:fldChar w:fldCharType="separate"/>
      </w:r>
      <w:r>
        <w:t>14</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_Toc6687 </w:instrText>
      </w:r>
      <w:r>
        <w:rPr>
          <w:rFonts w:hint="eastAsia" w:ascii="仿宋" w:hAnsi="仿宋" w:eastAsia="仿宋" w:cs="仿宋"/>
        </w:rPr>
        <w:fldChar w:fldCharType="separate"/>
      </w:r>
      <w:r>
        <w:rPr>
          <w:rFonts w:hint="eastAsia" w:ascii="仿宋" w:hAnsi="仿宋" w:eastAsia="仿宋" w:cs="仿宋"/>
          <w:bCs/>
          <w:spacing w:val="6"/>
          <w:szCs w:val="32"/>
          <w:lang w:eastAsia="zh-CN"/>
        </w:rPr>
        <w:t>（五）资金使用计划</w:t>
      </w:r>
      <w:r>
        <w:tab/>
      </w:r>
      <w:r>
        <w:fldChar w:fldCharType="begin"/>
      </w:r>
      <w:r>
        <w:instrText xml:space="preserve"> PAGEREF _Toc6687 \h </w:instrText>
      </w:r>
      <w:r>
        <w:fldChar w:fldCharType="separate"/>
      </w:r>
      <w:r>
        <w:t>14</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_Toc7939 </w:instrText>
      </w:r>
      <w:r>
        <w:rPr>
          <w:rFonts w:hint="eastAsia" w:ascii="仿宋" w:hAnsi="仿宋" w:eastAsia="仿宋" w:cs="仿宋"/>
        </w:rPr>
        <w:fldChar w:fldCharType="separate"/>
      </w:r>
      <w:r>
        <w:rPr>
          <w:rFonts w:hint="eastAsia" w:ascii="仿宋" w:hAnsi="仿宋" w:eastAsia="仿宋" w:cs="仿宋"/>
          <w:bCs/>
          <w:spacing w:val="6"/>
          <w:szCs w:val="32"/>
          <w:lang w:eastAsia="zh-CN"/>
        </w:rPr>
        <w:t>（六）项目工程预算表</w:t>
      </w:r>
      <w:r>
        <w:tab/>
      </w:r>
      <w:r>
        <w:fldChar w:fldCharType="begin"/>
      </w:r>
      <w:r>
        <w:instrText xml:space="preserve"> PAGEREF _Toc7939 \h </w:instrText>
      </w:r>
      <w:r>
        <w:fldChar w:fldCharType="separate"/>
      </w:r>
      <w:r>
        <w:t>15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_Toc2322 </w:instrText>
      </w:r>
      <w:r>
        <w:rPr>
          <w:rFonts w:hint="eastAsia" w:ascii="仿宋" w:hAnsi="仿宋" w:eastAsia="仿宋" w:cs="仿宋"/>
        </w:rPr>
        <w:fldChar w:fldCharType="separate"/>
      </w:r>
      <w:r>
        <w:rPr>
          <w:rFonts w:hint="eastAsia" w:ascii="仿宋" w:hAnsi="仿宋" w:eastAsia="仿宋" w:cs="仿宋"/>
          <w:bCs/>
          <w:spacing w:val="6"/>
          <w:szCs w:val="36"/>
          <w:lang w:eastAsia="zh-CN"/>
        </w:rPr>
        <w:t>七、 项目用工需求和劳务报酬测算</w:t>
      </w:r>
      <w:r>
        <w:tab/>
      </w:r>
      <w:r>
        <w:fldChar w:fldCharType="begin"/>
      </w:r>
      <w:r>
        <w:instrText xml:space="preserve"> PAGEREF _Toc2322 \h </w:instrText>
      </w:r>
      <w:r>
        <w:fldChar w:fldCharType="separate"/>
      </w:r>
      <w:r>
        <w:t>15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_Toc19999 </w:instrText>
      </w:r>
      <w:r>
        <w:rPr>
          <w:rFonts w:hint="eastAsia" w:ascii="仿宋" w:hAnsi="仿宋" w:eastAsia="仿宋" w:cs="仿宋"/>
        </w:rPr>
        <w:fldChar w:fldCharType="separate"/>
      </w:r>
      <w:r>
        <w:rPr>
          <w:rFonts w:hint="eastAsia" w:ascii="仿宋" w:hAnsi="仿宋" w:eastAsia="仿宋" w:cs="仿宋"/>
          <w:bCs/>
          <w:spacing w:val="6"/>
          <w:szCs w:val="36"/>
          <w:lang w:eastAsia="zh-CN"/>
        </w:rPr>
        <w:t>八、 务工组织</w:t>
      </w:r>
      <w:r>
        <w:tab/>
      </w:r>
      <w:r>
        <w:fldChar w:fldCharType="begin"/>
      </w:r>
      <w:r>
        <w:instrText xml:space="preserve"> PAGEREF _Toc19999 \h </w:instrText>
      </w:r>
      <w:r>
        <w:fldChar w:fldCharType="separate"/>
      </w:r>
      <w:r>
        <w:t>16</w:t>
      </w:r>
      <w:r>
        <w:fldChar w:fldCharType="end"/>
      </w:r>
      <w:r>
        <w:rPr>
          <w:rFonts w:hint="eastAsia" w:ascii="仿宋" w:hAnsi="仿宋" w:eastAsia="仿宋" w:cs="仿宋"/>
        </w:rPr>
        <w:fldChar w:fldCharType="end"/>
      </w:r>
    </w:p>
    <w:p>
      <w:pPr>
        <w:pStyle w:val="11"/>
        <w:tabs>
          <w:tab w:val="right" w:leader="dot" w:pos="8844"/>
        </w:tabs>
        <w:rPr>
          <w:rFonts w:hint="eastAsia" w:ascii="仿宋" w:hAnsi="仿宋" w:eastAsia="仿宋" w:cs="仿宋"/>
        </w:rPr>
        <w:sectPr>
          <w:headerReference r:id="rId7" w:type="default"/>
          <w:footerReference r:id="rId8" w:type="default"/>
          <w:pgSz w:w="11906" w:h="16838"/>
          <w:pgMar w:top="2098" w:right="1531" w:bottom="1984" w:left="1531" w:header="851" w:footer="992" w:gutter="0"/>
          <w:pgNumType w:start="1"/>
          <w:cols w:space="425" w:num="1"/>
          <w:docGrid w:linePitch="286" w:charSpace="0"/>
        </w:sectPr>
      </w:pP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_Toc27899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（一）领导小组</w:t>
      </w:r>
      <w:r>
        <w:tab/>
      </w:r>
      <w:r>
        <w:fldChar w:fldCharType="begin"/>
      </w:r>
      <w:r>
        <w:instrText xml:space="preserve"> PAGEREF _Toc27899 \h </w:instrText>
      </w:r>
      <w:r>
        <w:fldChar w:fldCharType="separate"/>
      </w:r>
      <w:r>
        <w:t>16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_Toc8016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（二）工作任务</w:t>
      </w:r>
      <w:r>
        <w:tab/>
      </w:r>
      <w:r>
        <w:fldChar w:fldCharType="begin"/>
      </w:r>
      <w:r>
        <w:instrText xml:space="preserve"> PAGEREF _Toc8016 \h </w:instrText>
      </w:r>
      <w:r>
        <w:fldChar w:fldCharType="separate"/>
      </w:r>
      <w:r>
        <w:t>17</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_Toc4286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（三）监督管理</w:t>
      </w:r>
      <w:r>
        <w:tab/>
      </w:r>
      <w:r>
        <w:fldChar w:fldCharType="begin"/>
      </w:r>
      <w:r>
        <w:instrText xml:space="preserve"> PAGEREF _Toc4286 \h </w:instrText>
      </w:r>
      <w:r>
        <w:fldChar w:fldCharType="separate"/>
      </w:r>
      <w:r>
        <w:t>17</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_Toc17309 </w:instrText>
      </w:r>
      <w:r>
        <w:rPr>
          <w:rFonts w:hint="eastAsia" w:ascii="仿宋" w:hAnsi="仿宋" w:eastAsia="仿宋" w:cs="仿宋"/>
        </w:rPr>
        <w:fldChar w:fldCharType="separate"/>
      </w:r>
      <w:r>
        <w:rPr>
          <w:rFonts w:hint="eastAsia" w:ascii="仿宋" w:hAnsi="仿宋" w:eastAsia="仿宋" w:cs="仿宋"/>
          <w:bCs/>
          <w:spacing w:val="6"/>
          <w:szCs w:val="36"/>
          <w:lang w:eastAsia="zh-CN"/>
        </w:rPr>
        <w:t>九、 劳务报酬发放</w:t>
      </w:r>
      <w:r>
        <w:tab/>
      </w:r>
      <w:r>
        <w:fldChar w:fldCharType="begin"/>
      </w:r>
      <w:r>
        <w:instrText xml:space="preserve"> PAGEREF _Toc17309 \h </w:instrText>
      </w:r>
      <w:r>
        <w:fldChar w:fldCharType="separate"/>
      </w:r>
      <w:r>
        <w:t>17</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_Toc29754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（一）劳务报酬测算</w:t>
      </w:r>
      <w:r>
        <w:tab/>
      </w:r>
      <w:r>
        <w:fldChar w:fldCharType="begin"/>
      </w:r>
      <w:r>
        <w:instrText xml:space="preserve"> PAGEREF _Toc29754 \h </w:instrText>
      </w:r>
      <w:r>
        <w:fldChar w:fldCharType="separate"/>
      </w:r>
      <w:r>
        <w:t>17</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_Toc10920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（二）劳务报酬发放</w:t>
      </w:r>
      <w:r>
        <w:tab/>
      </w:r>
      <w:r>
        <w:fldChar w:fldCharType="begin"/>
      </w:r>
      <w:r>
        <w:instrText xml:space="preserve"> PAGEREF _Toc10920 \h </w:instrText>
      </w:r>
      <w:r>
        <w:fldChar w:fldCharType="separate"/>
      </w:r>
      <w:r>
        <w:t>18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_Toc698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（三）带动群众务工增收预期成效</w:t>
      </w:r>
      <w:r>
        <w:tab/>
      </w:r>
      <w:r>
        <w:fldChar w:fldCharType="begin"/>
      </w:r>
      <w:r>
        <w:instrText xml:space="preserve"> PAGEREF _Toc698 \h </w:instrText>
      </w:r>
      <w:r>
        <w:fldChar w:fldCharType="separate"/>
      </w:r>
      <w:r>
        <w:t>18</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_Toc19430 </w:instrText>
      </w:r>
      <w:r>
        <w:rPr>
          <w:rFonts w:hint="eastAsia" w:ascii="仿宋" w:hAnsi="仿宋" w:eastAsia="仿宋" w:cs="仿宋"/>
        </w:rPr>
        <w:fldChar w:fldCharType="separate"/>
      </w:r>
      <w:r>
        <w:rPr>
          <w:rFonts w:hint="eastAsia" w:ascii="仿宋" w:hAnsi="仿宋" w:eastAsia="仿宋" w:cs="仿宋"/>
          <w:bCs/>
          <w:spacing w:val="6"/>
          <w:szCs w:val="32"/>
          <w:lang w:eastAsia="zh-CN"/>
        </w:rPr>
        <w:t>（四）劳务报酬发放监督管理</w:t>
      </w:r>
      <w:r>
        <w:tab/>
      </w:r>
      <w:r>
        <w:fldChar w:fldCharType="begin"/>
      </w:r>
      <w:r>
        <w:instrText xml:space="preserve"> PAGEREF _Toc19430 \h </w:instrText>
      </w:r>
      <w:r>
        <w:fldChar w:fldCharType="separate"/>
      </w:r>
      <w:r>
        <w:t>18</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_Toc29163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 劳动技能培训</w:t>
      </w:r>
      <w:r>
        <w:tab/>
      </w:r>
      <w:r>
        <w:fldChar w:fldCharType="begin"/>
      </w:r>
      <w:r>
        <w:instrText xml:space="preserve"> PAGEREF _Toc29163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_Toc23083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（一）技能培训对象和内容</w:t>
      </w:r>
      <w:r>
        <w:tab/>
      </w:r>
      <w:r>
        <w:fldChar w:fldCharType="begin"/>
      </w:r>
      <w:r>
        <w:instrText xml:space="preserve"> PAGEREF _Toc23083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_Toc13744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（二）培训方式</w:t>
      </w:r>
      <w:r>
        <w:tab/>
      </w:r>
      <w:r>
        <w:fldChar w:fldCharType="begin"/>
      </w:r>
      <w:r>
        <w:instrText xml:space="preserve"> PAGEREF _Toc13744 \h </w:instrText>
      </w:r>
      <w:r>
        <w:fldChar w:fldCharType="separate"/>
      </w:r>
      <w:r>
        <w:t>19</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_Toc15559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十一、 赈济模式</w:t>
      </w:r>
      <w:r>
        <w:tab/>
      </w:r>
      <w:r>
        <w:fldChar w:fldCharType="begin"/>
      </w:r>
      <w:r>
        <w:instrText xml:space="preserve"> PAGEREF _Toc15559 \h </w:instrText>
      </w:r>
      <w:r>
        <w:fldChar w:fldCharType="separate"/>
      </w:r>
      <w:r>
        <w:t>19</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_Toc5948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十二、 项目影响效果分析</w:t>
      </w:r>
      <w:r>
        <w:tab/>
      </w:r>
      <w:r>
        <w:fldChar w:fldCharType="begin"/>
      </w:r>
      <w:r>
        <w:instrText xml:space="preserve"> PAGEREF _Toc5948 \h </w:instrText>
      </w:r>
      <w:r>
        <w:fldChar w:fldCharType="separate"/>
      </w:r>
      <w:r>
        <w:t>19</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_Toc17055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（一）经济影响</w:t>
      </w:r>
      <w:r>
        <w:tab/>
      </w:r>
      <w:r>
        <w:fldChar w:fldCharType="begin"/>
      </w:r>
      <w:r>
        <w:instrText xml:space="preserve"> PAGEREF _Toc17055 \h </w:instrText>
      </w:r>
      <w:r>
        <w:fldChar w:fldCharType="separate"/>
      </w:r>
      <w:r>
        <w:t>20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_Toc12894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（二）社会影响分析</w:t>
      </w:r>
      <w:r>
        <w:tab/>
      </w:r>
      <w:r>
        <w:fldChar w:fldCharType="begin"/>
      </w:r>
      <w:r>
        <w:instrText xml:space="preserve"> PAGEREF _Toc12894 \h </w:instrText>
      </w:r>
      <w:r>
        <w:fldChar w:fldCharType="separate"/>
      </w:r>
      <w:r>
        <w:t>20</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_Toc26329 </w:instrText>
      </w:r>
      <w:r>
        <w:rPr>
          <w:rFonts w:hint="eastAsia" w:ascii="仿宋" w:hAnsi="仿宋" w:eastAsia="仿宋" w:cs="仿宋"/>
        </w:rPr>
        <w:fldChar w:fldCharType="separate"/>
      </w:r>
      <w:r>
        <w:rPr>
          <w:rFonts w:hint="eastAsia" w:ascii="仿宋" w:hAnsi="仿宋" w:eastAsia="仿宋" w:cs="仿宋"/>
          <w:bCs/>
          <w:spacing w:val="6"/>
          <w:szCs w:val="32"/>
          <w:lang w:eastAsia="zh-CN"/>
        </w:rPr>
        <w:t>（三）生态环境影响分析</w:t>
      </w:r>
      <w:r>
        <w:tab/>
      </w:r>
      <w:r>
        <w:fldChar w:fldCharType="begin"/>
      </w:r>
      <w:r>
        <w:instrText xml:space="preserve"> PAGEREF _Toc26329 \h </w:instrText>
      </w:r>
      <w:r>
        <w:fldChar w:fldCharType="separate"/>
      </w:r>
      <w:r>
        <w:t>20</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_Toc31765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十三、 项目风险管控方案</w:t>
      </w:r>
      <w:r>
        <w:tab/>
      </w:r>
      <w:r>
        <w:fldChar w:fldCharType="begin"/>
      </w:r>
      <w:r>
        <w:instrText xml:space="preserve"> PAGEREF _Toc31765 \h </w:instrText>
      </w:r>
      <w:r>
        <w:fldChar w:fldCharType="separate"/>
      </w:r>
      <w:r>
        <w:t>21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_Toc11429 </w:instrText>
      </w:r>
      <w:r>
        <w:rPr>
          <w:rFonts w:hint="eastAsia" w:ascii="仿宋" w:hAnsi="仿宋" w:eastAsia="仿宋" w:cs="仿宋"/>
        </w:rPr>
        <w:fldChar w:fldCharType="separate"/>
      </w:r>
      <w:r>
        <w:rPr>
          <w:rFonts w:hint="eastAsia" w:ascii="仿宋" w:hAnsi="仿宋" w:eastAsia="仿宋" w:cs="仿宋"/>
          <w:bCs w:val="0"/>
          <w:spacing w:val="6"/>
          <w:szCs w:val="32"/>
          <w:lang w:val="en-US" w:eastAsia="zh-CN"/>
        </w:rPr>
        <w:t>1、</w:t>
      </w:r>
      <w:r>
        <w:rPr>
          <w:rFonts w:hint="eastAsia" w:ascii="仿宋" w:hAnsi="仿宋" w:eastAsia="仿宋" w:cs="仿宋"/>
          <w:bCs w:val="0"/>
          <w:spacing w:val="6"/>
          <w:szCs w:val="32"/>
          <w:lang w:eastAsia="zh-CN"/>
        </w:rPr>
        <w:t>风险识别与评价</w:t>
      </w:r>
      <w:r>
        <w:tab/>
      </w:r>
      <w:r>
        <w:fldChar w:fldCharType="begin"/>
      </w:r>
      <w:r>
        <w:instrText xml:space="preserve"> PAGEREF _Toc11429 \h </w:instrText>
      </w:r>
      <w:r>
        <w:fldChar w:fldCharType="separate"/>
      </w:r>
      <w:r>
        <w:t>21</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_Toc31308 </w:instrText>
      </w:r>
      <w:r>
        <w:rPr>
          <w:rFonts w:hint="eastAsia" w:ascii="仿宋" w:hAnsi="仿宋" w:eastAsia="仿宋" w:cs="仿宋"/>
        </w:rPr>
        <w:fldChar w:fldCharType="separate"/>
      </w:r>
      <w:r>
        <w:rPr>
          <w:rFonts w:hint="eastAsia" w:ascii="仿宋" w:hAnsi="仿宋" w:eastAsia="仿宋" w:cs="仿宋"/>
          <w:spacing w:val="6"/>
          <w:szCs w:val="32"/>
          <w:lang w:eastAsia="zh-CN"/>
        </w:rPr>
        <w:t>1项目风险预测与防范</w:t>
      </w:r>
      <w:r>
        <w:tab/>
      </w:r>
      <w:r>
        <w:fldChar w:fldCharType="begin"/>
      </w:r>
      <w:r>
        <w:instrText xml:space="preserve"> PAGEREF _Toc31308 \h </w:instrText>
      </w:r>
      <w:r>
        <w:fldChar w:fldCharType="separate"/>
      </w:r>
      <w:r>
        <w:t>25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_Toc19972 </w:instrText>
      </w:r>
      <w:r>
        <w:rPr>
          <w:rFonts w:hint="eastAsia" w:ascii="仿宋" w:hAnsi="仿宋" w:eastAsia="仿宋" w:cs="仿宋"/>
        </w:rPr>
        <w:fldChar w:fldCharType="separate"/>
      </w:r>
      <w:r>
        <w:rPr>
          <w:rFonts w:hint="eastAsia" w:ascii="仿宋" w:hAnsi="仿宋" w:eastAsia="仿宋" w:cs="仿宋"/>
          <w:spacing w:val="6"/>
          <w:szCs w:val="32"/>
          <w:lang w:eastAsia="zh-CN"/>
        </w:rPr>
        <w:t>2事故应急预案措施</w:t>
      </w:r>
      <w:r>
        <w:tab/>
      </w:r>
      <w:r>
        <w:fldChar w:fldCharType="begin"/>
      </w:r>
      <w:r>
        <w:instrText xml:space="preserve"> PAGEREF _Toc19972 \h </w:instrText>
      </w:r>
      <w:r>
        <w:fldChar w:fldCharType="separate"/>
      </w:r>
      <w:r>
        <w:t>25</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_Toc19657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十四、 保障措施</w:t>
      </w:r>
      <w:r>
        <w:tab/>
      </w:r>
      <w:r>
        <w:fldChar w:fldCharType="begin"/>
      </w:r>
      <w:r>
        <w:instrText xml:space="preserve"> PAGEREF _Toc19657 \h </w:instrText>
      </w:r>
      <w:r>
        <w:fldChar w:fldCharType="separate"/>
      </w:r>
      <w:r>
        <w:t>25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_Toc4829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（一）组织保障</w:t>
      </w:r>
      <w:r>
        <w:tab/>
      </w:r>
      <w:r>
        <w:fldChar w:fldCharType="begin"/>
      </w:r>
      <w:r>
        <w:instrText xml:space="preserve"> PAGEREF _Toc4829 \h </w:instrText>
      </w:r>
      <w:r>
        <w:fldChar w:fldCharType="separate"/>
      </w:r>
      <w:r>
        <w:t>25</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_Toc10466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（二）工作保障</w:t>
      </w:r>
      <w:r>
        <w:tab/>
      </w:r>
      <w:r>
        <w:fldChar w:fldCharType="begin"/>
      </w:r>
      <w:r>
        <w:instrText xml:space="preserve"> PAGEREF _Toc10466 \h </w:instrText>
      </w:r>
      <w:r>
        <w:fldChar w:fldCharType="separate"/>
      </w:r>
      <w:r>
        <w:t>26</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_Toc24513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十五、 研究结论及建议</w:t>
      </w:r>
      <w:r>
        <w:tab/>
      </w:r>
      <w:r>
        <w:fldChar w:fldCharType="begin"/>
      </w:r>
      <w:r>
        <w:instrText xml:space="preserve"> PAGEREF _Toc24513 \h </w:instrText>
      </w:r>
      <w:r>
        <w:fldChar w:fldCharType="separate"/>
      </w:r>
      <w:r>
        <w:t>26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_Toc31563 </w:instrText>
      </w:r>
      <w:r>
        <w:rPr>
          <w:rFonts w:hint="eastAsia" w:ascii="仿宋" w:hAnsi="仿宋" w:eastAsia="仿宋" w:cs="仿宋"/>
        </w:rPr>
        <w:fldChar w:fldCharType="separate"/>
      </w:r>
      <w:r>
        <w:rPr>
          <w:rFonts w:hint="eastAsia" w:ascii="仿宋" w:hAnsi="仿宋" w:eastAsia="仿宋" w:cs="仿宋"/>
          <w:bCs/>
          <w:spacing w:val="6"/>
          <w:szCs w:val="32"/>
          <w:lang w:eastAsia="zh-CN"/>
        </w:rPr>
        <w:t>（一）主要研究结论</w:t>
      </w:r>
      <w:r>
        <w:tab/>
      </w:r>
      <w:r>
        <w:fldChar w:fldCharType="begin"/>
      </w:r>
      <w:r>
        <w:instrText xml:space="preserve"> PAGEREF _Toc31563 \h </w:instrText>
      </w:r>
      <w:r>
        <w:fldChar w:fldCharType="separate"/>
      </w:r>
      <w:r>
        <w:t>26</w:t>
      </w:r>
      <w:r>
        <w:fldChar w:fldCharType="end"/>
      </w:r>
      <w:r>
        <w:rPr>
          <w:rFonts w:hint="eastAsia" w:ascii="仿宋" w:hAnsi="仿宋" w:eastAsia="仿宋" w:cs="仿宋"/>
        </w:rPr>
        <w:fldChar w:fldCharType="end"/>
      </w:r>
    </w:p>
    <w:p>
      <w:pPr>
        <w:pStyle w:val="11"/>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_Toc10092 </w:instrText>
      </w:r>
      <w:r>
        <w:rPr>
          <w:rFonts w:hint="eastAsia" w:ascii="仿宋" w:hAnsi="仿宋" w:eastAsia="仿宋" w:cs="仿宋"/>
        </w:rPr>
        <w:fldChar w:fldCharType="separate"/>
      </w:r>
      <w:r>
        <w:rPr>
          <w:rFonts w:hint="eastAsia" w:ascii="仿宋" w:hAnsi="仿宋" w:eastAsia="仿宋" w:cs="仿宋"/>
          <w:bCs/>
          <w:spacing w:val="6"/>
          <w:szCs w:val="32"/>
          <w:lang w:eastAsia="zh-CN"/>
        </w:rPr>
        <w:t>（二）问题与建议</w:t>
      </w:r>
      <w:r>
        <w:tab/>
      </w:r>
      <w:r>
        <w:fldChar w:fldCharType="begin"/>
      </w:r>
      <w:r>
        <w:instrText xml:space="preserve"> PAGEREF _Toc10092 \h </w:instrText>
      </w:r>
      <w:r>
        <w:fldChar w:fldCharType="separate"/>
      </w:r>
      <w:r>
        <w:t>27</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_Toc10558 </w:instrText>
      </w:r>
      <w:r>
        <w:rPr>
          <w:rFonts w:hint="eastAsia" w:ascii="仿宋" w:hAnsi="仿宋" w:eastAsia="仿宋" w:cs="仿宋"/>
        </w:rPr>
        <w:fldChar w:fldCharType="separate"/>
      </w:r>
      <w:r>
        <w:rPr>
          <w:rFonts w:hint="eastAsia" w:ascii="仿宋" w:hAnsi="仿宋" w:eastAsia="仿宋" w:cs="仿宋"/>
          <w:bCs/>
          <w:spacing w:val="6"/>
          <w:szCs w:val="36"/>
          <w:lang w:eastAsia="zh-CN"/>
        </w:rPr>
        <w:t>十六、附表、附图和附件</w:t>
      </w:r>
      <w:r>
        <w:tab/>
      </w:r>
      <w:r>
        <w:fldChar w:fldCharType="begin"/>
      </w:r>
      <w:r>
        <w:instrText xml:space="preserve"> PAGEREF _Toc10558 \h </w:instrText>
      </w:r>
      <w:r>
        <w:fldChar w:fldCharType="separate"/>
      </w:r>
      <w:r>
        <w:t>27</w:t>
      </w:r>
      <w:r>
        <w:fldChar w:fldCharType="end"/>
      </w:r>
      <w:r>
        <w:rPr>
          <w:rFonts w:hint="eastAsia" w:ascii="仿宋" w:hAnsi="仿宋" w:eastAsia="仿宋" w:cs="仿宋"/>
        </w:rPr>
        <w:fldChar w:fldCharType="end"/>
      </w:r>
    </w:p>
    <w:p>
      <w:pPr>
        <w:pStyle w:val="10"/>
        <w:tabs>
          <w:tab w:val="right" w:leader="dot" w:pos="8844"/>
        </w:tabs>
      </w:pPr>
      <w:r>
        <w:rPr>
          <w:rFonts w:hint="eastAsia" w:ascii="仿宋" w:hAnsi="仿宋" w:eastAsia="仿宋" w:cs="仿宋"/>
        </w:rPr>
        <w:fldChar w:fldCharType="begin"/>
      </w:r>
      <w:r>
        <w:rPr>
          <w:rFonts w:hint="eastAsia" w:ascii="仿宋" w:hAnsi="仿宋" w:eastAsia="仿宋" w:cs="仿宋"/>
        </w:rPr>
        <w:instrText xml:space="preserve"> HYPERLINK \l _Toc18900 </w:instrText>
      </w:r>
      <w:r>
        <w:rPr>
          <w:rFonts w:hint="eastAsia" w:ascii="仿宋" w:hAnsi="仿宋" w:eastAsia="仿宋" w:cs="仿宋"/>
        </w:rPr>
        <w:fldChar w:fldCharType="separate"/>
      </w:r>
      <w:r>
        <w:rPr>
          <w:rFonts w:hint="eastAsia" w:ascii="仿宋" w:hAnsi="仿宋" w:eastAsia="仿宋" w:cs="仿宋"/>
          <w:spacing w:val="6"/>
          <w:szCs w:val="32"/>
          <w:lang w:eastAsia="zh-CN"/>
        </w:rPr>
        <w:t>附件</w:t>
      </w:r>
      <w:r>
        <w:rPr>
          <w:rFonts w:hint="eastAsia" w:ascii="仿宋" w:hAnsi="仿宋" w:eastAsia="仿宋" w:cs="仿宋"/>
          <w:spacing w:val="6"/>
          <w:szCs w:val="32"/>
          <w:lang w:val="en-US" w:eastAsia="zh-CN"/>
        </w:rPr>
        <w:t>1</w:t>
      </w:r>
      <w:r>
        <w:rPr>
          <w:rFonts w:hint="eastAsia" w:ascii="仿宋" w:hAnsi="仿宋" w:eastAsia="仿宋" w:cs="仿宋"/>
          <w:spacing w:val="6"/>
          <w:szCs w:val="32"/>
          <w:lang w:eastAsia="zh-CN"/>
        </w:rPr>
        <w:t>总概算（预算）表</w:t>
      </w:r>
      <w:r>
        <w:tab/>
      </w:r>
      <w:r>
        <w:fldChar w:fldCharType="begin"/>
      </w:r>
      <w:r>
        <w:instrText xml:space="preserve"> PAGEREF _Toc18900 \h </w:instrText>
      </w:r>
      <w:r>
        <w:fldChar w:fldCharType="separate"/>
      </w:r>
      <w:r>
        <w:t>27</w:t>
      </w:r>
      <w:r>
        <w:fldChar w:fldCharType="end"/>
      </w:r>
      <w:r>
        <w:rPr>
          <w:rFonts w:hint="eastAsia" w:ascii="仿宋" w:hAnsi="仿宋" w:eastAsia="仿宋" w:cs="仿宋"/>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r>
        <w:rPr>
          <w:rFonts w:hint="eastAsia" w:ascii="仿宋" w:hAnsi="仿宋" w:eastAsia="仿宋" w:cs="仿宋"/>
        </w:rPr>
        <w:fldChar w:fldCharType="end"/>
      </w: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lang w:eastAsia="zh-CN"/>
        </w:rPr>
        <w:sectPr>
          <w:footerReference r:id="rId9" w:type="default"/>
          <w:pgSz w:w="11906" w:h="16838"/>
          <w:pgMar w:top="2098" w:right="1531" w:bottom="1984" w:left="1531" w:header="851" w:footer="992" w:gutter="0"/>
          <w:pgNumType w:start="1"/>
          <w:cols w:space="425" w:num="1"/>
          <w:docGrid w:linePitch="286" w:charSpace="0"/>
        </w:sectPr>
      </w:pPr>
    </w:p>
    <w:p>
      <w:pPr>
        <w:keepNext w:val="0"/>
        <w:keepLines w:val="0"/>
        <w:pageBreakBefore w:val="0"/>
        <w:widowControl w:val="0"/>
        <w:kinsoku/>
        <w:wordWrap/>
        <w:overflowPunct/>
        <w:topLinePunct w:val="0"/>
        <w:autoSpaceDE/>
        <w:autoSpaceDN/>
        <w:bidi w:val="0"/>
        <w:adjustRightInd/>
        <w:snapToGrid w:val="0"/>
        <w:spacing w:after="286" w:line="570" w:lineRule="exact"/>
        <w:jc w:val="center"/>
        <w:textAlignment w:val="baseline"/>
        <w:outlineLvl w:val="9"/>
        <w:rPr>
          <w:rFonts w:hint="eastAsia" w:ascii="仿宋" w:hAnsi="仿宋" w:eastAsia="仿宋" w:cs="仿宋"/>
          <w:sz w:val="36"/>
          <w:szCs w:val="36"/>
        </w:rPr>
      </w:pPr>
      <w:r>
        <w:rPr>
          <w:rFonts w:hint="eastAsia" w:ascii="仿宋" w:hAnsi="仿宋" w:eastAsia="仿宋" w:cs="仿宋"/>
          <w:sz w:val="36"/>
          <w:szCs w:val="36"/>
          <w:lang w:eastAsia="zh-CN"/>
        </w:rPr>
        <w:t>麦盖提县吐曼塔勒乡产业发展配套道路建设</w:t>
      </w:r>
      <w:r>
        <w:rPr>
          <w:rFonts w:hint="eastAsia" w:ascii="仿宋" w:hAnsi="仿宋" w:eastAsia="仿宋" w:cs="仿宋"/>
          <w:sz w:val="36"/>
          <w:szCs w:val="36"/>
          <w:lang w:val="en-US" w:eastAsia="zh-CN"/>
        </w:rPr>
        <w:t>2024年</w:t>
      </w:r>
      <w:r>
        <w:rPr>
          <w:rFonts w:hint="eastAsia" w:ascii="仿宋" w:hAnsi="仿宋" w:eastAsia="仿宋" w:cs="仿宋"/>
          <w:sz w:val="36"/>
          <w:szCs w:val="36"/>
          <w:lang w:eastAsia="zh-CN"/>
        </w:rPr>
        <w:t>中央财政以工代赈项目</w:t>
      </w:r>
      <w:r>
        <w:rPr>
          <w:rFonts w:hint="eastAsia" w:ascii="仿宋" w:hAnsi="仿宋" w:eastAsia="仿宋" w:cs="仿宋"/>
          <w:sz w:val="36"/>
          <w:szCs w:val="36"/>
        </w:rPr>
        <w:t>实施方案</w:t>
      </w: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0" w:name="_Toc20805"/>
      <w:r>
        <w:rPr>
          <w:rFonts w:hint="eastAsia" w:ascii="仿宋" w:hAnsi="仿宋" w:eastAsia="仿宋" w:cs="仿宋"/>
          <w:b/>
          <w:bCs/>
          <w:spacing w:val="6"/>
          <w:sz w:val="36"/>
          <w:szCs w:val="36"/>
          <w:lang w:eastAsia="zh-CN"/>
        </w:rPr>
        <w:t>一、概述</w:t>
      </w:r>
      <w:bookmarkEnd w:id="0"/>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1" w:name="_Toc18995"/>
      <w:r>
        <w:rPr>
          <w:rFonts w:hint="eastAsia" w:ascii="仿宋" w:hAnsi="仿宋" w:eastAsia="仿宋" w:cs="仿宋"/>
          <w:b/>
          <w:bCs/>
          <w:spacing w:val="6"/>
          <w:sz w:val="32"/>
          <w:szCs w:val="32"/>
        </w:rPr>
        <w:t>项目</w:t>
      </w:r>
      <w:r>
        <w:rPr>
          <w:rFonts w:hint="eastAsia" w:ascii="仿宋" w:hAnsi="仿宋" w:eastAsia="仿宋" w:cs="仿宋"/>
          <w:b/>
          <w:bCs/>
          <w:spacing w:val="6"/>
          <w:sz w:val="32"/>
          <w:szCs w:val="32"/>
          <w:lang w:eastAsia="zh-CN"/>
        </w:rPr>
        <w:t>概况</w:t>
      </w:r>
      <w:bookmarkEnd w:id="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项目名称：</w:t>
      </w:r>
      <w:r>
        <w:rPr>
          <w:rFonts w:hint="eastAsia" w:ascii="仿宋" w:hAnsi="仿宋" w:eastAsia="仿宋" w:cs="仿宋"/>
          <w:spacing w:val="6"/>
          <w:sz w:val="32"/>
          <w:szCs w:val="32"/>
          <w:lang w:eastAsia="zh-CN"/>
        </w:rPr>
        <w:t>麦盖提县吐曼塔勒乡产业发展配套道路建设2024年中央财政以工代赈项目</w:t>
      </w:r>
      <w:r>
        <w:rPr>
          <w:rFonts w:hint="eastAsia" w:ascii="仿宋" w:hAnsi="仿宋" w:eastAsia="仿宋" w:cs="仿宋"/>
          <w:spacing w:val="6"/>
          <w:sz w:val="32"/>
          <w:szCs w:val="32"/>
        </w:rPr>
        <w:t>项目建设内容：新建1</w:t>
      </w:r>
      <w:r>
        <w:rPr>
          <w:rFonts w:hint="eastAsia" w:ascii="仿宋" w:hAnsi="仿宋" w:eastAsia="仿宋" w:cs="仿宋"/>
          <w:spacing w:val="6"/>
          <w:sz w:val="32"/>
          <w:szCs w:val="32"/>
          <w:lang w:val="en-US" w:eastAsia="zh-CN"/>
        </w:rPr>
        <w:t>6</w:t>
      </w:r>
      <w:r>
        <w:rPr>
          <w:rFonts w:hint="eastAsia" w:ascii="仿宋" w:hAnsi="仿宋" w:eastAsia="仿宋" w:cs="仿宋"/>
          <w:spacing w:val="6"/>
          <w:sz w:val="32"/>
          <w:szCs w:val="32"/>
        </w:rPr>
        <w:t>公里道路</w:t>
      </w:r>
      <w:r>
        <w:rPr>
          <w:rFonts w:hint="eastAsia" w:ascii="仿宋" w:hAnsi="仿宋" w:eastAsia="仿宋" w:cs="仿宋"/>
          <w:spacing w:val="6"/>
          <w:sz w:val="32"/>
          <w:szCs w:val="32"/>
          <w:lang w:eastAsia="zh-CN"/>
        </w:rPr>
        <w:t>（砂砾路）</w:t>
      </w:r>
      <w:r>
        <w:rPr>
          <w:rFonts w:hint="eastAsia" w:ascii="仿宋" w:hAnsi="仿宋" w:eastAsia="仿宋" w:cs="仿宋"/>
          <w:spacing w:val="6"/>
          <w:sz w:val="32"/>
          <w:szCs w:val="32"/>
        </w:rPr>
        <w:t>，修建路基、路面、桥涵及附属设施；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项目建设地点：</w:t>
      </w:r>
      <w:r>
        <w:rPr>
          <w:rFonts w:hint="eastAsia" w:ascii="仿宋" w:hAnsi="仿宋" w:eastAsia="仿宋" w:cs="仿宋"/>
          <w:spacing w:val="6"/>
          <w:sz w:val="32"/>
          <w:szCs w:val="32"/>
          <w:lang w:eastAsia="zh-CN"/>
        </w:rPr>
        <w:t>吐曼塔勒乡</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项目建设单位：</w:t>
      </w:r>
      <w:r>
        <w:rPr>
          <w:rFonts w:hint="eastAsia" w:ascii="仿宋" w:hAnsi="仿宋" w:eastAsia="仿宋" w:cs="仿宋"/>
          <w:spacing w:val="6"/>
          <w:sz w:val="32"/>
          <w:szCs w:val="32"/>
          <w:lang w:eastAsia="zh-CN"/>
        </w:rPr>
        <w:t>麦盖提县农村公路建设养护所</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项目负责人：</w:t>
      </w:r>
      <w:r>
        <w:rPr>
          <w:rFonts w:hint="eastAsia" w:ascii="仿宋" w:hAnsi="仿宋" w:eastAsia="仿宋" w:cs="仿宋"/>
          <w:spacing w:val="6"/>
          <w:sz w:val="32"/>
          <w:szCs w:val="32"/>
          <w:lang w:eastAsia="zh-CN"/>
        </w:rPr>
        <w:t>丁祥伟</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建设时间：</w:t>
      </w:r>
      <w:r>
        <w:rPr>
          <w:rFonts w:hint="eastAsia" w:ascii="仿宋" w:hAnsi="仿宋" w:eastAsia="仿宋" w:cs="仿宋"/>
          <w:spacing w:val="6"/>
          <w:sz w:val="32"/>
          <w:szCs w:val="32"/>
          <w:lang w:eastAsia="zh-CN"/>
        </w:rPr>
        <w:t>工期拟在</w:t>
      </w:r>
      <w:r>
        <w:rPr>
          <w:rFonts w:hint="eastAsia"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年</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月至</w:t>
      </w: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rPr>
        <w:t>月；</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2" w:name="_Toc25000"/>
      <w:r>
        <w:rPr>
          <w:rFonts w:hint="eastAsia" w:ascii="仿宋" w:hAnsi="仿宋" w:eastAsia="仿宋" w:cs="仿宋"/>
          <w:b/>
          <w:bCs/>
          <w:spacing w:val="6"/>
          <w:sz w:val="32"/>
          <w:szCs w:val="32"/>
          <w:lang w:eastAsia="zh-CN"/>
        </w:rPr>
        <w:t>编制依据</w:t>
      </w:r>
      <w:bookmarkEnd w:id="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深入学习贯彻习近平总书记和其他领导同志关于以工代赈工作的重要指示精神，落实党中央、国务院部署要求，按照《国家以工代赈管理办法》《自治区“十四五”以工代赈工作方案》《关于进一步坚守“赈”的初心充分发挥以工代赈政策功能的实施意见》等文件要求。</w:t>
      </w:r>
    </w:p>
    <w:p>
      <w:pPr>
        <w:pStyle w:val="24"/>
        <w:pageBreakBefore w:val="0"/>
        <w:numPr>
          <w:ilvl w:val="0"/>
          <w:numId w:val="1"/>
        </w:numPr>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bCs/>
          <w:spacing w:val="6"/>
          <w:sz w:val="32"/>
          <w:szCs w:val="32"/>
          <w:lang w:eastAsia="zh-CN"/>
        </w:rPr>
      </w:pPr>
      <w:bookmarkStart w:id="3" w:name="_Toc4544"/>
      <w:r>
        <w:rPr>
          <w:rFonts w:hint="eastAsia" w:ascii="仿宋" w:hAnsi="仿宋" w:eastAsia="仿宋" w:cs="仿宋"/>
          <w:b/>
          <w:bCs/>
          <w:spacing w:val="6"/>
          <w:sz w:val="32"/>
          <w:szCs w:val="32"/>
          <w:lang w:eastAsia="zh-CN"/>
        </w:rPr>
        <w:t>主要结论和建议</w:t>
      </w:r>
      <w:bookmarkEnd w:id="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本项目以“农村公益性基础设施建设+劳务报酬发放+就业技能培训+公益性岗位设置”综合示范模式实施。项目完成后，通过中央预算内资金引导，促进项目区产业发展，增强农民增收的内生动力。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综上，本项目的建设对促进</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乡村振兴和改善民生，将起到巨大的推动作用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ind w:firstLine="690"/>
        <w:textAlignment w:val="baseline"/>
        <w:rPr>
          <w:rFonts w:hint="default" w:ascii="仿宋" w:hAnsi="仿宋" w:eastAsia="仿宋" w:cs="仿宋"/>
          <w:b/>
          <w:bCs/>
          <w:spacing w:val="6"/>
          <w:sz w:val="32"/>
          <w:szCs w:val="32"/>
          <w:lang w:val="en-US"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4" w:name="_Toc26242"/>
      <w:r>
        <w:rPr>
          <w:rFonts w:hint="eastAsia" w:ascii="仿宋" w:hAnsi="仿宋" w:eastAsia="仿宋" w:cs="仿宋"/>
          <w:b/>
          <w:bCs/>
          <w:spacing w:val="6"/>
          <w:sz w:val="36"/>
          <w:szCs w:val="36"/>
          <w:lang w:eastAsia="zh-CN"/>
        </w:rPr>
        <w:t>二、项目建设背景和必要性</w:t>
      </w:r>
      <w:bookmarkEnd w:id="4"/>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 w:name="_Toc8142"/>
      <w:r>
        <w:rPr>
          <w:rFonts w:hint="eastAsia" w:ascii="仿宋" w:hAnsi="仿宋" w:eastAsia="仿宋" w:cs="仿宋"/>
          <w:b/>
          <w:bCs/>
          <w:spacing w:val="6"/>
          <w:sz w:val="32"/>
          <w:szCs w:val="32"/>
          <w:lang w:eastAsia="zh-CN"/>
        </w:rPr>
        <w:t>（一）项目建设背景</w:t>
      </w:r>
      <w:bookmarkEnd w:id="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生态宜居是乡村振兴的关键，我们要塑造较好的生态、适居的环境，是农村发展的优点和财富，也就是绿水青山便是金山银山。另外，我们也要推进农村的自然资源、资本、资产加速生产，让绿水青山变成金山银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地势平坦，全县地势由西南向东北缓缓倾斜。主要地貌：沿叶尔羌河两岸为平原区，东北部沿叶尔羌河下游一带为原始胡杨森林区，东部为沙漠区。</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麦盖提县自然景观有原始胡杨林、东河滩沙棘林湿地、塔克拉玛干沙漠风光、叶尔羌河中游大桥夕阳风光和刀郎千岛湖等。距塔克拉玛干沙漠最近处仅13公里。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项目路线所在区域属于提孜那甫河下游的冲、洪积和风积平原，地形平坦开阔，地势由西南向东北缓缓倾斜，自然坡降0.5%之内，全线属平原微丘地形。</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 w:name="_Toc22818"/>
      <w:r>
        <w:rPr>
          <w:rFonts w:hint="eastAsia" w:ascii="仿宋" w:hAnsi="仿宋" w:eastAsia="仿宋" w:cs="仿宋"/>
          <w:b/>
          <w:bCs/>
          <w:spacing w:val="6"/>
          <w:sz w:val="32"/>
          <w:szCs w:val="32"/>
          <w:lang w:eastAsia="zh-CN"/>
        </w:rPr>
        <w:t>（二）规划政策符合性</w:t>
      </w:r>
      <w:bookmarkEnd w:id="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中共中央国务院关于坚持农业农村优先发展做好“三农”工作的若干意见(中发〔2019〕1号)》，全文共分8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7" w:name="_Toc6571"/>
      <w:r>
        <w:rPr>
          <w:rFonts w:hint="eastAsia" w:ascii="仿宋" w:hAnsi="仿宋" w:eastAsia="仿宋" w:cs="仿宋"/>
          <w:b/>
          <w:bCs/>
          <w:spacing w:val="6"/>
          <w:sz w:val="32"/>
          <w:szCs w:val="32"/>
          <w:lang w:eastAsia="zh-CN"/>
        </w:rPr>
        <w:t>（三）项目建设必要性</w:t>
      </w:r>
      <w:bookmarkEnd w:id="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1、是全面推进乡村振兴战略的需要。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2、是连接</w:t>
      </w:r>
      <w:r>
        <w:rPr>
          <w:rFonts w:hint="eastAsia" w:ascii="仿宋" w:hAnsi="仿宋" w:eastAsia="仿宋" w:cs="仿宋"/>
          <w:spacing w:val="6"/>
          <w:sz w:val="32"/>
          <w:szCs w:val="32"/>
          <w:lang w:eastAsia="zh-CN"/>
        </w:rPr>
        <w:t>农村公路</w:t>
      </w:r>
      <w:r>
        <w:rPr>
          <w:rFonts w:hint="default" w:ascii="仿宋" w:hAnsi="仿宋" w:eastAsia="仿宋" w:cs="仿宋"/>
          <w:spacing w:val="6"/>
          <w:sz w:val="32"/>
          <w:szCs w:val="32"/>
        </w:rPr>
        <w:t>，充分发挥路网规模效益的需要。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3、是改善乡村出行条件，提高村民出行安全性、舒适性的需要。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4、是改善投资环境，促进沿线资源开发，推动经济持续、健康、快速发展的需要。</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default" w:ascii="仿宋" w:hAnsi="仿宋" w:eastAsia="仿宋" w:cs="仿宋"/>
          <w:spacing w:val="6"/>
          <w:sz w:val="32"/>
          <w:szCs w:val="32"/>
        </w:rPr>
        <w:t>5、是拓展乡镇发展空间，增强发展后劲的需要。</w:t>
      </w:r>
      <w:r>
        <w:rPr>
          <w:rFonts w:hint="eastAsia" w:ascii="仿宋" w:hAnsi="仿宋" w:eastAsia="仿宋" w:cs="仿宋"/>
          <w:spacing w:val="6"/>
          <w:sz w:val="32"/>
          <w:szCs w:val="32"/>
        </w:rPr>
        <w:t> </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综上所述，</w:t>
      </w:r>
      <w:r>
        <w:rPr>
          <w:rFonts w:hint="eastAsia" w:ascii="仿宋" w:hAnsi="仿宋" w:eastAsia="仿宋" w:cs="仿宋"/>
          <w:spacing w:val="6"/>
          <w:sz w:val="32"/>
          <w:szCs w:val="32"/>
          <w:lang w:eastAsia="zh-CN"/>
        </w:rPr>
        <w:t>项目</w:t>
      </w:r>
      <w:r>
        <w:rPr>
          <w:rFonts w:hint="eastAsia" w:ascii="仿宋" w:hAnsi="仿宋" w:eastAsia="仿宋" w:cs="仿宋"/>
          <w:spacing w:val="6"/>
          <w:sz w:val="32"/>
          <w:szCs w:val="32"/>
        </w:rPr>
        <w:t>的建设具有极其重要的意义，项目建成后，结合以工代赈项目和当地乡村振兴战略实施，帮助难以通过市场就业的脱贫群众和其他农村低收入人口，特别是易地扶贫搬迁脱贫人口实现就近就业，获得稳定收入。</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0"/>
        <w:rPr>
          <w:rFonts w:hint="eastAsia" w:ascii="仿宋" w:hAnsi="仿宋" w:eastAsia="仿宋" w:cs="仿宋"/>
          <w:b/>
          <w:bCs/>
          <w:spacing w:val="6"/>
          <w:sz w:val="36"/>
          <w:szCs w:val="36"/>
          <w:lang w:eastAsia="zh-CN"/>
        </w:rPr>
      </w:pPr>
      <w:bookmarkStart w:id="8" w:name="_Toc32244"/>
      <w:r>
        <w:rPr>
          <w:rFonts w:hint="eastAsia" w:ascii="仿宋" w:hAnsi="仿宋" w:eastAsia="仿宋" w:cs="仿宋"/>
          <w:b/>
          <w:bCs/>
          <w:spacing w:val="6"/>
          <w:sz w:val="36"/>
          <w:szCs w:val="36"/>
          <w:lang w:eastAsia="zh-CN"/>
        </w:rPr>
        <w:t>三、项目需求分析与产出方案</w:t>
      </w:r>
      <w:bookmarkEnd w:id="8"/>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（一）需求分析</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zh-CN" w:eastAsia="zh-CN"/>
        </w:rPr>
      </w:pPr>
      <w:r>
        <w:rPr>
          <w:rFonts w:hint="eastAsia" w:ascii="仿宋" w:hAnsi="仿宋" w:eastAsia="仿宋" w:cs="仿宋"/>
          <w:spacing w:val="6"/>
          <w:sz w:val="32"/>
          <w:szCs w:val="32"/>
          <w:lang w:val="zh-CN"/>
        </w:rPr>
        <w:t>本项目</w:t>
      </w:r>
      <w:r>
        <w:rPr>
          <w:rFonts w:hint="eastAsia" w:ascii="仿宋" w:hAnsi="仿宋" w:eastAsia="仿宋" w:cs="仿宋"/>
          <w:spacing w:val="6"/>
          <w:sz w:val="32"/>
          <w:szCs w:val="32"/>
          <w:lang w:val="zh-CN" w:eastAsia="zh-CN"/>
        </w:rPr>
        <w:t>原有道路均</w:t>
      </w:r>
      <w:r>
        <w:rPr>
          <w:rFonts w:hint="eastAsia" w:ascii="仿宋" w:hAnsi="仿宋" w:eastAsia="仿宋" w:cs="仿宋"/>
          <w:spacing w:val="6"/>
          <w:sz w:val="32"/>
          <w:szCs w:val="32"/>
          <w:lang w:val="zh-CN"/>
        </w:rPr>
        <w:t>为土路、两侧</w:t>
      </w:r>
      <w:r>
        <w:rPr>
          <w:rFonts w:hint="eastAsia" w:ascii="仿宋" w:hAnsi="仿宋" w:eastAsia="仿宋" w:cs="仿宋"/>
          <w:spacing w:val="6"/>
          <w:sz w:val="32"/>
          <w:szCs w:val="32"/>
          <w:lang w:val="zh-CN" w:eastAsia="zh-CN"/>
        </w:rPr>
        <w:t>均为农田、林带、灌溉渠</w:t>
      </w:r>
      <w:r>
        <w:rPr>
          <w:rFonts w:hint="eastAsia" w:ascii="仿宋" w:hAnsi="仿宋" w:eastAsia="仿宋" w:cs="仿宋"/>
          <w:spacing w:val="6"/>
          <w:sz w:val="32"/>
          <w:szCs w:val="32"/>
          <w:lang w:val="zh-CN"/>
        </w:rPr>
        <w:t>、</w:t>
      </w:r>
      <w:r>
        <w:rPr>
          <w:rFonts w:hint="eastAsia" w:ascii="仿宋" w:hAnsi="仿宋" w:eastAsia="仿宋" w:cs="仿宋"/>
          <w:spacing w:val="6"/>
          <w:sz w:val="32"/>
          <w:szCs w:val="32"/>
          <w:lang w:val="zh-CN" w:eastAsia="zh-CN"/>
        </w:rPr>
        <w:t>浮土厚、</w:t>
      </w:r>
      <w:r>
        <w:rPr>
          <w:rFonts w:hint="eastAsia" w:ascii="仿宋" w:hAnsi="仿宋" w:eastAsia="仿宋" w:cs="仿宋"/>
          <w:spacing w:val="6"/>
          <w:sz w:val="32"/>
          <w:szCs w:val="32"/>
          <w:lang w:val="zh-CN"/>
        </w:rPr>
        <w:t>行车条件较差：坑洼不平</w:t>
      </w:r>
      <w:r>
        <w:rPr>
          <w:rFonts w:hint="eastAsia" w:ascii="仿宋" w:hAnsi="仿宋" w:eastAsia="仿宋" w:cs="仿宋"/>
          <w:spacing w:val="6"/>
          <w:sz w:val="32"/>
          <w:szCs w:val="32"/>
          <w:lang w:val="zh-CN" w:eastAsia="zh-CN"/>
        </w:rPr>
        <w:t>、</w:t>
      </w:r>
      <w:r>
        <w:rPr>
          <w:rFonts w:hint="eastAsia" w:ascii="仿宋" w:hAnsi="仿宋" w:eastAsia="仿宋" w:cs="仿宋"/>
          <w:spacing w:val="6"/>
          <w:sz w:val="32"/>
          <w:szCs w:val="32"/>
          <w:lang w:val="zh-CN"/>
        </w:rPr>
        <w:t>晴天尘土飞扬急需改造。该项目的修建，可以促进项目区产业发展，改善路网结构，提高</w:t>
      </w:r>
      <w:r>
        <w:rPr>
          <w:rFonts w:hint="eastAsia" w:ascii="仿宋" w:hAnsi="仿宋" w:eastAsia="仿宋" w:cs="仿宋"/>
          <w:spacing w:val="6"/>
          <w:sz w:val="32"/>
          <w:szCs w:val="32"/>
          <w:lang w:val="zh-CN" w:eastAsia="zh-CN"/>
        </w:rPr>
        <w:t>农民收入</w:t>
      </w:r>
      <w:r>
        <w:rPr>
          <w:rFonts w:hint="eastAsia" w:ascii="仿宋" w:hAnsi="仿宋" w:eastAsia="仿宋" w:cs="仿宋"/>
          <w:spacing w:val="6"/>
          <w:sz w:val="32"/>
          <w:szCs w:val="32"/>
          <w:lang w:val="zh-CN"/>
        </w:rPr>
        <w:t>，并且满足当地人民出行便捷。</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（二）建设内容和规模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val="zh-CN"/>
        </w:rPr>
        <w:t>麦盖提县吐曼塔勒乡产业发展配套道路中央财政以工代赈项目</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促进项目区产业发展</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增强农民增收。</w:t>
      </w:r>
      <w:r>
        <w:rPr>
          <w:rFonts w:hint="eastAsia" w:ascii="仿宋" w:hAnsi="仿宋" w:eastAsia="仿宋" w:cs="仿宋"/>
          <w:spacing w:val="6"/>
          <w:sz w:val="32"/>
          <w:szCs w:val="32"/>
        </w:rPr>
        <w:t>项目共</w:t>
      </w:r>
      <w:r>
        <w:rPr>
          <w:rFonts w:hint="eastAsia" w:ascii="仿宋" w:hAnsi="仿宋" w:eastAsia="仿宋" w:cs="仿宋"/>
          <w:spacing w:val="6"/>
          <w:sz w:val="32"/>
          <w:szCs w:val="32"/>
          <w:lang w:eastAsia="zh-CN"/>
        </w:rPr>
        <w:t>计</w:t>
      </w:r>
      <w:r>
        <w:rPr>
          <w:rFonts w:hint="eastAsia" w:ascii="仿宋" w:hAnsi="仿宋" w:eastAsia="仿宋" w:cs="仿宋"/>
          <w:spacing w:val="6"/>
          <w:sz w:val="32"/>
          <w:szCs w:val="32"/>
          <w:lang w:val="en-US" w:eastAsia="zh-CN"/>
        </w:rPr>
        <w:t>16</w:t>
      </w:r>
      <w:r>
        <w:rPr>
          <w:rFonts w:hint="eastAsia" w:ascii="仿宋" w:hAnsi="仿宋" w:eastAsia="仿宋" w:cs="仿宋"/>
          <w:spacing w:val="6"/>
          <w:sz w:val="32"/>
          <w:szCs w:val="32"/>
        </w:rPr>
        <w:t>km</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为</w:t>
      </w:r>
      <w:r>
        <w:rPr>
          <w:rFonts w:hint="eastAsia" w:ascii="仿宋" w:hAnsi="仿宋" w:eastAsia="仿宋" w:cs="仿宋"/>
          <w:spacing w:val="6"/>
          <w:sz w:val="32"/>
          <w:szCs w:val="32"/>
          <w:lang w:eastAsia="zh-CN"/>
        </w:rPr>
        <w:t>砂石</w:t>
      </w:r>
      <w:r>
        <w:rPr>
          <w:rFonts w:hint="eastAsia" w:ascii="仿宋" w:hAnsi="仿宋" w:eastAsia="仿宋" w:cs="仿宋"/>
          <w:spacing w:val="6"/>
          <w:sz w:val="32"/>
          <w:szCs w:val="32"/>
        </w:rPr>
        <w:t>路面，路基宽度采用</w:t>
      </w:r>
      <w:r>
        <w:rPr>
          <w:rFonts w:hint="eastAsia" w:ascii="仿宋" w:hAnsi="仿宋" w:eastAsia="仿宋" w:cs="仿宋"/>
          <w:spacing w:val="6"/>
          <w:sz w:val="32"/>
          <w:szCs w:val="32"/>
          <w:lang w:val="en-US" w:eastAsia="zh-CN"/>
        </w:rPr>
        <w:t>4.5/4.0m</w:t>
      </w:r>
      <w:r>
        <w:rPr>
          <w:rFonts w:hint="eastAsia" w:ascii="仿宋" w:hAnsi="仿宋" w:eastAsia="仿宋" w:cs="仿宋"/>
          <w:spacing w:val="6"/>
          <w:sz w:val="32"/>
          <w:szCs w:val="32"/>
        </w:rPr>
        <w:t>，路面宽</w:t>
      </w:r>
      <w:r>
        <w:rPr>
          <w:rFonts w:hint="eastAsia" w:ascii="仿宋" w:hAnsi="仿宋" w:eastAsia="仿宋" w:cs="仿宋"/>
          <w:spacing w:val="6"/>
          <w:sz w:val="32"/>
          <w:szCs w:val="32"/>
          <w:lang w:val="en-US" w:eastAsia="zh-CN"/>
        </w:rPr>
        <w:t>4.0/3.5</w:t>
      </w:r>
      <w:r>
        <w:rPr>
          <w:rFonts w:hint="eastAsia" w:ascii="仿宋" w:hAnsi="仿宋" w:eastAsia="仿宋" w:cs="仿宋"/>
          <w:spacing w:val="6"/>
          <w:sz w:val="32"/>
          <w:szCs w:val="32"/>
        </w:rPr>
        <w:t>m。结构层</w:t>
      </w:r>
      <w:r>
        <w:rPr>
          <w:rFonts w:hint="eastAsia" w:ascii="仿宋" w:hAnsi="仿宋" w:eastAsia="仿宋" w:cs="仿宋"/>
          <w:spacing w:val="6"/>
          <w:sz w:val="32"/>
          <w:szCs w:val="32"/>
          <w:lang w:val="en-US" w:eastAsia="zh-CN"/>
        </w:rPr>
        <w:t>:15cm天然砂砾面层。</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（三）项目预期成效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项目建成后，结合以工代赈项目和当地乡村振兴战略实施，帮助难以通过市场就业的脱贫群众和其他农村低收入人口，特别是易地扶贫搬迁脱贫人口实现就近就业，获得稳定收入。项目实施后</w:t>
      </w:r>
      <w:r>
        <w:rPr>
          <w:rFonts w:hint="eastAsia" w:ascii="仿宋" w:hAnsi="仿宋" w:eastAsia="仿宋" w:cs="仿宋"/>
          <w:spacing w:val="6"/>
          <w:sz w:val="32"/>
          <w:szCs w:val="32"/>
          <w:lang w:eastAsia="zh-CN"/>
        </w:rPr>
        <w:t>受</w:t>
      </w:r>
      <w:r>
        <w:rPr>
          <w:rFonts w:hint="eastAsia" w:ascii="仿宋" w:hAnsi="仿宋" w:eastAsia="仿宋" w:cs="仿宋"/>
          <w:spacing w:val="6"/>
          <w:sz w:val="32"/>
          <w:szCs w:val="32"/>
        </w:rPr>
        <w:t>益人口</w:t>
      </w:r>
      <w:r>
        <w:rPr>
          <w:rFonts w:hint="eastAsia" w:ascii="仿宋" w:hAnsi="仿宋" w:eastAsia="仿宋" w:cs="仿宋"/>
          <w:spacing w:val="6"/>
          <w:sz w:val="32"/>
          <w:szCs w:val="32"/>
          <w:lang w:eastAsia="zh-CN"/>
        </w:rPr>
        <w:t>数≥</w:t>
      </w:r>
      <w:r>
        <w:rPr>
          <w:rFonts w:hint="eastAsia" w:ascii="仿宋" w:hAnsi="仿宋" w:eastAsia="仿宋" w:cs="仿宋"/>
          <w:spacing w:val="6"/>
          <w:sz w:val="32"/>
          <w:szCs w:val="32"/>
        </w:rPr>
        <w:t>10</w:t>
      </w:r>
      <w:r>
        <w:rPr>
          <w:rFonts w:hint="eastAsia" w:ascii="仿宋" w:hAnsi="仿宋" w:eastAsia="仿宋" w:cs="仿宋"/>
          <w:spacing w:val="6"/>
          <w:sz w:val="32"/>
          <w:szCs w:val="32"/>
          <w:lang w:val="en-US" w:eastAsia="zh-CN"/>
        </w:rPr>
        <w:t>0</w:t>
      </w:r>
      <w:r>
        <w:rPr>
          <w:rFonts w:hint="eastAsia" w:ascii="仿宋" w:hAnsi="仿宋" w:eastAsia="仿宋" w:cs="仿宋"/>
          <w:spacing w:val="6"/>
          <w:sz w:val="32"/>
          <w:szCs w:val="32"/>
        </w:rPr>
        <w:t>人。</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9" w:name="_Toc23838"/>
      <w:r>
        <w:rPr>
          <w:rFonts w:hint="eastAsia" w:ascii="仿宋" w:hAnsi="仿宋" w:eastAsia="仿宋" w:cs="仿宋"/>
          <w:b/>
          <w:bCs/>
          <w:spacing w:val="6"/>
          <w:sz w:val="36"/>
          <w:szCs w:val="36"/>
          <w:lang w:eastAsia="zh-CN"/>
        </w:rPr>
        <w:t>项目选址与要素保障</w:t>
      </w:r>
      <w:bookmarkEnd w:id="9"/>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0" w:name="_Toc25216"/>
      <w:r>
        <w:rPr>
          <w:rFonts w:hint="eastAsia" w:ascii="仿宋" w:hAnsi="仿宋" w:eastAsia="仿宋" w:cs="仿宋"/>
          <w:b/>
          <w:bCs/>
          <w:spacing w:val="6"/>
          <w:sz w:val="32"/>
          <w:szCs w:val="32"/>
          <w:lang w:eastAsia="zh-CN"/>
        </w:rPr>
        <w:t>（一）项目选址</w:t>
      </w:r>
      <w:bookmarkEnd w:id="1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本项目位于麦盖提县吐曼塔勒乡境内，</w:t>
      </w:r>
      <w:r>
        <w:rPr>
          <w:rFonts w:hint="eastAsia" w:ascii="仿宋" w:hAnsi="仿宋" w:eastAsia="仿宋" w:cs="仿宋"/>
          <w:spacing w:val="6"/>
          <w:sz w:val="32"/>
          <w:szCs w:val="32"/>
        </w:rPr>
        <w:t>本项目建设用地均为已有老路，无占用耕地和林地、两侧</w:t>
      </w:r>
      <w:r>
        <w:rPr>
          <w:rFonts w:hint="eastAsia" w:ascii="仿宋" w:hAnsi="仿宋" w:eastAsia="仿宋" w:cs="仿宋"/>
          <w:spacing w:val="6"/>
          <w:sz w:val="32"/>
          <w:szCs w:val="32"/>
          <w:lang w:eastAsia="zh-CN"/>
        </w:rPr>
        <w:t>为农田、林带、灌溉渠</w:t>
      </w:r>
      <w:r>
        <w:rPr>
          <w:rFonts w:hint="eastAsia" w:ascii="仿宋" w:hAnsi="仿宋" w:eastAsia="仿宋" w:cs="仿宋"/>
          <w:spacing w:val="6"/>
          <w:sz w:val="32"/>
          <w:szCs w:val="32"/>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1" w:name="_Toc21735"/>
      <w:r>
        <w:rPr>
          <w:rFonts w:hint="eastAsia" w:ascii="仿宋" w:hAnsi="仿宋" w:eastAsia="仿宋" w:cs="仿宋"/>
          <w:b/>
          <w:bCs/>
          <w:spacing w:val="6"/>
          <w:sz w:val="32"/>
          <w:szCs w:val="32"/>
          <w:lang w:eastAsia="zh-CN"/>
        </w:rPr>
        <w:t>（二）项目建设条件</w:t>
      </w:r>
      <w:bookmarkEnd w:id="11"/>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地理位置</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地形、地貌</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麦盖提县地处喀什地区中部，克孜河流中下游冲积，洪积平原，境内西北依山，东南深入戈壁，沙漠，地形为西北走向的开阔盆地，地势自西南向东北倾斜，平均海拔1200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区域地质条件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冲积平原及三角洲平原，以塔里木河冲积平原</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，沿河冲积平原为第四纪冲积沙层和粉沙层，</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厚度达300m，以风成地貌为主，气候极为干燥，在塔河下游，沿河新老漫滩及河阶地分布有大面积的天然胡杨林、红柳，在一些地下水位较高的洼地和沙丘之间生长着以矮生型芦苇、罗布麻为主的荒漠草甸植被。</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水文地质条件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境内地下水资源比较丰富。全县地质结构和地貌状态上属山前倾斜平原。自山前向盆地过渡，有冲积扇—溢出带—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1-2m，因蒸发强烈形成大片次生盐碱化土地。</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气候条件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麦盖提县为温暖地带大陆性干旱气候，四季分明，气候干燥，日照时数长，晴好天气多，降水少，蒸发量大、昼夜温差大。</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b w:val="0"/>
          <w:bCs/>
          <w:spacing w:val="6"/>
          <w:sz w:val="32"/>
          <w:szCs w:val="32"/>
        </w:rPr>
        <w:t>气温：</w:t>
      </w:r>
      <w:r>
        <w:rPr>
          <w:rFonts w:hint="eastAsia" w:ascii="仿宋" w:hAnsi="仿宋" w:eastAsia="仿宋" w:cs="仿宋"/>
          <w:spacing w:val="6"/>
          <w:sz w:val="32"/>
          <w:szCs w:val="32"/>
        </w:rPr>
        <w:t> 麦盖提县属温带大陆性干燥气候，热量丰富，日照充足，昼夜温差大，冬季寒冷，夏季炎热，春季多风，秋季秋高气爽。年均日照2806小时以上，降水量39.4毫米，年积温4550小时以上，年平均气温11.8℃，最热月平均气温24.8℃，最冷月平均气温-6.8℃，极端最高气温40.0℃，极端最低气温-22.4℃。无霜期214天，</w:t>
      </w:r>
      <w:r>
        <w:rPr>
          <w:rFonts w:hint="eastAsia" w:ascii="仿宋" w:hAnsi="仿宋" w:eastAsia="仿宋" w:cs="仿宋"/>
          <w:spacing w:val="6"/>
          <w:sz w:val="32"/>
          <w:szCs w:val="32"/>
          <w:lang w:eastAsia="zh-CN"/>
        </w:rPr>
        <w:t>较大</w:t>
      </w:r>
      <w:r>
        <w:rPr>
          <w:rFonts w:hint="eastAsia" w:ascii="仿宋" w:hAnsi="仿宋" w:eastAsia="仿宋" w:cs="仿宋"/>
          <w:spacing w:val="6"/>
          <w:sz w:val="32"/>
          <w:szCs w:val="32"/>
        </w:rPr>
        <w:t>冻土深度为0.90米。</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筑路材料及运输条件</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拟建项目区施工过程中所用的主要材料包括砂、钢材、木材、水泥、砂砾石、天然砂砾材料和水等。</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12" w:name="_Toc29821"/>
      <w:r>
        <w:rPr>
          <w:rFonts w:hint="eastAsia" w:ascii="仿宋" w:hAnsi="仿宋" w:eastAsia="仿宋" w:cs="仿宋"/>
          <w:b/>
          <w:bCs/>
          <w:spacing w:val="6"/>
          <w:sz w:val="36"/>
          <w:szCs w:val="36"/>
          <w:lang w:eastAsia="zh-CN"/>
        </w:rPr>
        <w:t>项目建设方案</w:t>
      </w:r>
      <w:bookmarkEnd w:id="12"/>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3" w:name="_Toc30222"/>
      <w:r>
        <w:rPr>
          <w:rFonts w:hint="eastAsia" w:ascii="仿宋" w:hAnsi="仿宋" w:eastAsia="仿宋" w:cs="仿宋"/>
          <w:b/>
          <w:bCs/>
          <w:spacing w:val="6"/>
          <w:sz w:val="32"/>
          <w:szCs w:val="32"/>
          <w:lang w:eastAsia="zh-CN"/>
        </w:rPr>
        <w:t>（一）技术方案</w:t>
      </w:r>
      <w:bookmarkEnd w:id="13"/>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14" w:name="_Toc16975"/>
      <w:r>
        <w:rPr>
          <w:rFonts w:hint="eastAsia" w:ascii="仿宋" w:hAnsi="仿宋" w:eastAsia="仿宋" w:cs="仿宋"/>
          <w:b w:val="0"/>
          <w:bCs w:val="0"/>
          <w:spacing w:val="6"/>
          <w:sz w:val="32"/>
          <w:szCs w:val="32"/>
        </w:rPr>
        <w:t>1</w:t>
      </w:r>
      <w:r>
        <w:rPr>
          <w:rFonts w:hint="eastAsia" w:ascii="仿宋" w:hAnsi="仿宋" w:eastAsia="仿宋" w:cs="仿宋"/>
          <w:b w:val="0"/>
          <w:bCs w:val="0"/>
          <w:spacing w:val="6"/>
          <w:sz w:val="32"/>
          <w:szCs w:val="32"/>
          <w:lang w:eastAsia="zh-CN"/>
        </w:rPr>
        <w:t>、</w:t>
      </w:r>
      <w:r>
        <w:rPr>
          <w:rFonts w:hint="eastAsia" w:ascii="仿宋" w:hAnsi="仿宋" w:eastAsia="仿宋" w:cs="仿宋"/>
          <w:b w:val="0"/>
          <w:bCs w:val="0"/>
          <w:spacing w:val="6"/>
          <w:sz w:val="32"/>
          <w:szCs w:val="32"/>
        </w:rPr>
        <w:t>项目设计（技术依据）</w:t>
      </w:r>
      <w:bookmarkEnd w:id="1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●《公路工程基本建设项目设计文件编制办法》交公路发[2007]358号</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●《公路工程技术标准》（JTGB01－2014）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●《公路工程抗震规范》（JTGB02—2013）</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●《公路勘测规范》（JTGC10－2007）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●《公路路线设计规范》（JTGD20－2017）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●《公路路基设计规范》（JTGD30－2015）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●《公路水泥混凝土路面设计规范》（JTGD40—2011）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●《公路桥涵设计通用规范》（JTGD60－2015）</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●《公路钢筋混凝土及预应力混凝土桥涵设计规范》（JTGD62－2004）</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●《公路桥涵地基与基础设计规范》（JTG3363－2019）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●《公路桥梁抗震设计规范》（JTG/T2231-01－2020）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●《公路涵洞设计规范》（JGJ/T3365-02-2020）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●《公路排水设计规范》（JTG/TD33-2012）</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●《公路交通安全设施设计规范》（JTGD81－2017）</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●《道路交通标志和标线》（GB5768-2009）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●《公路交通安全标志和标线设置规范》（JTGD82－2009）</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●《公路环境保护设计规范》（JTGB04-2010）</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●《新疆盐渍土地区公路路基路面设计与施工规范》（XJTJ01-2001）</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●《公路基本建设工程概算、预算编制办法》（JTG3830-2018）</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●国家现行的有关标准、规范、规程、规定等行施工图设计。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●新疆维吾尔自治区公路管理局《新疆通村公路建设指南》进行施工图设计。</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国家及地方其他法律及规范。</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spacing w:val="6"/>
          <w:sz w:val="32"/>
          <w:szCs w:val="32"/>
        </w:rPr>
      </w:pPr>
      <w:bookmarkStart w:id="15" w:name="_Toc21726"/>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建设内容、规模、标准、投资设计等明细资料</w:t>
      </w:r>
      <w:bookmarkEnd w:id="15"/>
    </w:p>
    <w:p>
      <w:pPr>
        <w:pStyle w:val="24"/>
        <w:keepNext w:val="0"/>
        <w:keepLines w:val="0"/>
        <w:pageBreakBefore w:val="0"/>
        <w:widowControl w:val="0"/>
        <w:kinsoku/>
        <w:wordWrap/>
        <w:overflowPunct/>
        <w:topLinePunct w:val="0"/>
        <w:autoSpaceDE/>
        <w:autoSpaceDN/>
        <w:bidi w:val="0"/>
        <w:adjustRightInd/>
        <w:snapToGrid w:val="0"/>
        <w:spacing w:line="570" w:lineRule="exact"/>
        <w:ind w:left="0" w:leftChars="0" w:firstLine="667" w:firstLineChars="200"/>
        <w:textAlignment w:val="baseline"/>
        <w:rPr>
          <w:rFonts w:hint="eastAsia" w:ascii="仿宋" w:hAnsi="仿宋" w:eastAsia="仿宋" w:cs="仿宋"/>
          <w:spacing w:val="6"/>
          <w:sz w:val="32"/>
          <w:szCs w:val="32"/>
        </w:rPr>
      </w:pPr>
      <w:r>
        <w:rPr>
          <w:rFonts w:hint="eastAsia" w:ascii="仿宋" w:hAnsi="仿宋" w:eastAsia="仿宋" w:cs="仿宋"/>
          <w:b/>
          <w:bCs/>
          <w:spacing w:val="6"/>
          <w:sz w:val="32"/>
          <w:szCs w:val="32"/>
          <w:lang w:eastAsia="zh-CN"/>
        </w:rPr>
        <w:t>建设规模：</w:t>
      </w:r>
      <w:r>
        <w:rPr>
          <w:rFonts w:hint="eastAsia" w:ascii="仿宋" w:hAnsi="仿宋" w:eastAsia="仿宋" w:cs="仿宋"/>
          <w:spacing w:val="6"/>
          <w:sz w:val="32"/>
          <w:szCs w:val="32"/>
          <w:lang w:eastAsia="zh-CN"/>
        </w:rPr>
        <w:t>新建砂砾路</w:t>
      </w:r>
      <w:r>
        <w:rPr>
          <w:rFonts w:hint="eastAsia" w:ascii="仿宋" w:hAnsi="仿宋" w:eastAsia="仿宋" w:cs="仿宋"/>
          <w:spacing w:val="6"/>
          <w:sz w:val="32"/>
          <w:szCs w:val="32"/>
          <w:lang w:val="en-US" w:eastAsia="zh-CN"/>
        </w:rPr>
        <w:t>16公里</w:t>
      </w:r>
      <w:r>
        <w:rPr>
          <w:rFonts w:hint="eastAsia" w:ascii="仿宋" w:hAnsi="仿宋" w:eastAsia="仿宋" w:cs="仿宋"/>
          <w:spacing w:val="6"/>
          <w:sz w:val="32"/>
          <w:szCs w:val="32"/>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lang w:eastAsia="zh-CN"/>
        </w:rPr>
        <w:t>建设内容</w:t>
      </w:r>
      <w:r>
        <w:rPr>
          <w:rFonts w:hint="eastAsia" w:ascii="仿宋" w:hAnsi="仿宋" w:eastAsia="仿宋" w:cs="仿宋"/>
          <w:b/>
          <w:bCs/>
          <w:spacing w:val="6"/>
          <w:sz w:val="32"/>
          <w:szCs w:val="32"/>
        </w:rPr>
        <w:t>：</w:t>
      </w:r>
      <w:r>
        <w:rPr>
          <w:rFonts w:hint="eastAsia" w:ascii="仿宋" w:hAnsi="仿宋" w:eastAsia="仿宋" w:cs="仿宋"/>
          <w:spacing w:val="6"/>
          <w:sz w:val="32"/>
          <w:szCs w:val="32"/>
          <w:highlight w:val="none"/>
          <w:lang w:eastAsia="zh-CN"/>
        </w:rPr>
        <w:t>新建砂砾石生产道路16公里，及相关附属设施建设。</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rPr>
      </w:pPr>
      <w:r>
        <w:rPr>
          <w:rFonts w:hint="eastAsia" w:ascii="仿宋" w:hAnsi="仿宋" w:eastAsia="仿宋" w:cs="仿宋"/>
          <w:b/>
          <w:bCs/>
          <w:spacing w:val="6"/>
          <w:sz w:val="32"/>
          <w:szCs w:val="32"/>
          <w:highlight w:val="none"/>
        </w:rPr>
        <w:t>主要控制点及走向：</w:t>
      </w:r>
      <w:r>
        <w:rPr>
          <w:rFonts w:hint="eastAsia" w:ascii="仿宋" w:hAnsi="仿宋" w:eastAsia="仿宋" w:cs="仿宋"/>
          <w:spacing w:val="6"/>
          <w:sz w:val="32"/>
          <w:szCs w:val="32"/>
          <w:highlight w:val="none"/>
        </w:rPr>
        <w:t>主要控制点为</w:t>
      </w:r>
      <w:r>
        <w:rPr>
          <w:rFonts w:hint="eastAsia" w:ascii="仿宋" w:hAnsi="仿宋" w:eastAsia="仿宋" w:cs="仿宋"/>
          <w:spacing w:val="6"/>
          <w:sz w:val="32"/>
          <w:szCs w:val="32"/>
          <w:highlight w:val="none"/>
          <w:lang w:eastAsia="zh-CN"/>
        </w:rPr>
        <w:t>路线</w:t>
      </w:r>
      <w:r>
        <w:rPr>
          <w:rFonts w:hint="eastAsia" w:ascii="仿宋" w:hAnsi="仿宋" w:eastAsia="仿宋" w:cs="仿宋"/>
          <w:spacing w:val="6"/>
          <w:sz w:val="32"/>
          <w:szCs w:val="32"/>
          <w:highlight w:val="none"/>
        </w:rPr>
        <w:t>起终点</w:t>
      </w:r>
      <w:r>
        <w:rPr>
          <w:rFonts w:hint="eastAsia" w:ascii="仿宋" w:hAnsi="仿宋" w:eastAsia="仿宋" w:cs="仿宋"/>
          <w:spacing w:val="6"/>
          <w:sz w:val="32"/>
          <w:szCs w:val="32"/>
          <w:highlight w:val="none"/>
          <w:lang w:eastAsia="zh-CN"/>
        </w:rPr>
        <w:t>及沿线构造物，新建道路不改变原老路的走向位置</w:t>
      </w:r>
      <w:r>
        <w:rPr>
          <w:rFonts w:hint="eastAsia" w:ascii="仿宋" w:hAnsi="仿宋" w:eastAsia="仿宋" w:cs="仿宋"/>
          <w:spacing w:val="6"/>
          <w:sz w:val="32"/>
          <w:szCs w:val="32"/>
          <w:highlight w:val="none"/>
        </w:rPr>
        <w:t>。</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b/>
          <w:bCs/>
          <w:spacing w:val="6"/>
          <w:sz w:val="32"/>
          <w:szCs w:val="32"/>
          <w:highlight w:val="none"/>
        </w:rPr>
      </w:pPr>
      <w:r>
        <w:rPr>
          <w:rFonts w:hint="eastAsia" w:ascii="仿宋" w:hAnsi="仿宋" w:eastAsia="仿宋" w:cs="仿宋"/>
          <w:b/>
          <w:bCs/>
          <w:spacing w:val="6"/>
          <w:sz w:val="32"/>
          <w:szCs w:val="32"/>
          <w:highlight w:val="none"/>
        </w:rPr>
        <w:t>技术经济指标</w:t>
      </w:r>
    </w:p>
    <w:p>
      <w:pPr>
        <w:spacing w:line="360" w:lineRule="auto"/>
        <w:jc w:val="center"/>
        <w:rPr>
          <w:rFonts w:hint="eastAsia" w:ascii="仿宋" w:hAnsi="仿宋" w:eastAsia="仿宋" w:cs="仿宋"/>
          <w:b/>
          <w:bCs w:val="0"/>
          <w:sz w:val="24"/>
        </w:rPr>
      </w:pPr>
      <w:r>
        <w:rPr>
          <w:rFonts w:hint="eastAsia" w:ascii="仿宋" w:hAnsi="仿宋" w:eastAsia="仿宋" w:cs="仿宋"/>
          <w:b/>
          <w:bCs w:val="0"/>
          <w:sz w:val="24"/>
        </w:rPr>
        <w:t>设计标准</w:t>
      </w:r>
    </w:p>
    <w:tbl>
      <w:tblPr>
        <w:tblStyle w:val="13"/>
        <w:tblpPr w:leftFromText="180" w:rightFromText="180" w:vertAnchor="text" w:horzAnchor="page" w:tblpX="1675" w:tblpY="517"/>
        <w:tblOverlap w:val="never"/>
        <w:tblW w:w="0" w:type="auto"/>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1148"/>
        <w:gridCol w:w="393"/>
        <w:gridCol w:w="393"/>
        <w:gridCol w:w="1296"/>
        <w:gridCol w:w="1400"/>
        <w:gridCol w:w="1478"/>
        <w:gridCol w:w="221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项目</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单位</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技术标准</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实际标准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公路等级</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四级公路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设计速度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km/h</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路基（路面）宽度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6.5（6.0）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4.5（4.0）/4.0（3.5）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设计荷载</w:t>
            </w:r>
          </w:p>
        </w:tc>
        <w:tc>
          <w:tcPr>
            <w:tcW w:w="1400" w:type="dxa"/>
            <w:noWrap w:val="0"/>
            <w:vAlign w:val="center"/>
          </w:tcPr>
          <w:p>
            <w:pPr>
              <w:jc w:val="center"/>
              <w:rPr>
                <w:rFonts w:hint="eastAsia" w:ascii="仿宋" w:hAnsi="仿宋" w:eastAsia="仿宋" w:cs="仿宋"/>
                <w:szCs w:val="21"/>
              </w:rPr>
            </w:pP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公路-II级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541" w:type="dxa"/>
            <w:gridSpan w:val="2"/>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平曲线半径</w:t>
            </w: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30/15</w:t>
            </w:r>
          </w:p>
        </w:tc>
        <w:tc>
          <w:tcPr>
            <w:tcW w:w="2210" w:type="dxa"/>
            <w:tcBorders>
              <w:left w:val="single" w:color="auto" w:sz="4" w:space="0"/>
              <w:bottom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541" w:type="dxa"/>
            <w:gridSpan w:val="2"/>
            <w:vMerge w:val="continue"/>
            <w:noWrap w:val="0"/>
            <w:vAlign w:val="center"/>
          </w:tcPr>
          <w:p>
            <w:pPr>
              <w:jc w:val="center"/>
              <w:rPr>
                <w:rFonts w:hint="eastAsia" w:ascii="仿宋" w:hAnsi="仿宋" w:eastAsia="仿宋" w:cs="仿宋"/>
                <w:szCs w:val="21"/>
              </w:rPr>
            </w:pPr>
          </w:p>
        </w:tc>
        <w:tc>
          <w:tcPr>
            <w:tcW w:w="1689"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不设超高最小</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150</w:t>
            </w:r>
          </w:p>
        </w:tc>
        <w:tc>
          <w:tcPr>
            <w:tcW w:w="2210" w:type="dxa"/>
            <w:tcBorders>
              <w:top w:val="single" w:color="auto" w:sz="4" w:space="0"/>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平曲线最小长度</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40</w:t>
            </w:r>
          </w:p>
        </w:tc>
        <w:tc>
          <w:tcPr>
            <w:tcW w:w="2210" w:type="dxa"/>
            <w:tcBorders>
              <w:left w:val="single" w:color="auto"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40</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230" w:type="dxa"/>
            <w:gridSpan w:val="4"/>
            <w:noWrap w:val="0"/>
            <w:vAlign w:val="center"/>
          </w:tcPr>
          <w:p>
            <w:pPr>
              <w:jc w:val="center"/>
              <w:rPr>
                <w:rFonts w:hint="eastAsia" w:ascii="仿宋" w:hAnsi="仿宋" w:eastAsia="仿宋" w:cs="仿宋"/>
                <w:szCs w:val="21"/>
              </w:rPr>
            </w:pPr>
            <w:r>
              <w:rPr>
                <w:rFonts w:hint="eastAsia" w:ascii="仿宋" w:hAnsi="仿宋" w:eastAsia="仿宋" w:cs="仿宋"/>
                <w:szCs w:val="21"/>
              </w:rPr>
              <w:t>最大纵坡</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9</w:t>
            </w:r>
          </w:p>
        </w:tc>
        <w:tc>
          <w:tcPr>
            <w:tcW w:w="2210" w:type="dxa"/>
            <w:tcBorders>
              <w:left w:val="single" w:color="auto" w:sz="4" w:space="0"/>
            </w:tcBorders>
            <w:noWrap w:val="0"/>
            <w:vAlign w:val="center"/>
          </w:tcPr>
          <w:p>
            <w:pPr>
              <w:jc w:val="center"/>
              <w:rPr>
                <w:rFonts w:hint="default"/>
                <w:lang w:val="en-US" w:eastAsia="zh-CN"/>
              </w:rPr>
            </w:pPr>
            <w:r>
              <w:rPr>
                <w:rFonts w:hint="eastAsia"/>
                <w:lang w:val="en-US" w:eastAsia="zh-CN"/>
              </w:rPr>
              <w:t>3.1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541"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114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最小竖曲线半径</w:t>
            </w: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凸型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ind w:firstLine="210" w:firstLineChars="100"/>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1000/1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41" w:type="dxa"/>
            <w:vMerge w:val="continue"/>
            <w:noWrap w:val="0"/>
            <w:vAlign w:val="center"/>
          </w:tcPr>
          <w:p>
            <w:pPr>
              <w:jc w:val="center"/>
              <w:rPr>
                <w:rFonts w:hint="eastAsia" w:ascii="仿宋" w:hAnsi="仿宋" w:eastAsia="仿宋" w:cs="仿宋"/>
                <w:szCs w:val="21"/>
              </w:rPr>
            </w:pPr>
          </w:p>
        </w:tc>
        <w:tc>
          <w:tcPr>
            <w:tcW w:w="1148" w:type="dxa"/>
            <w:vMerge w:val="continue"/>
            <w:noWrap w:val="0"/>
            <w:vAlign w:val="center"/>
          </w:tcPr>
          <w:p>
            <w:pPr>
              <w:jc w:val="center"/>
              <w:rPr>
                <w:rFonts w:hint="eastAsia" w:ascii="仿宋" w:hAnsi="仿宋" w:eastAsia="仿宋" w:cs="仿宋"/>
                <w:szCs w:val="21"/>
              </w:rPr>
            </w:pPr>
          </w:p>
        </w:tc>
        <w:tc>
          <w:tcPr>
            <w:tcW w:w="786" w:type="dxa"/>
            <w:gridSpan w:val="2"/>
            <w:noWrap w:val="0"/>
            <w:vAlign w:val="center"/>
          </w:tcPr>
          <w:p>
            <w:pPr>
              <w:jc w:val="center"/>
              <w:rPr>
                <w:rFonts w:hint="eastAsia" w:ascii="仿宋" w:hAnsi="仿宋" w:eastAsia="仿宋" w:cs="仿宋"/>
                <w:szCs w:val="21"/>
              </w:rPr>
            </w:pPr>
            <w:r>
              <w:rPr>
                <w:rFonts w:hint="eastAsia" w:ascii="仿宋" w:hAnsi="仿宋" w:eastAsia="仿宋" w:cs="仿宋"/>
                <w:szCs w:val="21"/>
              </w:rPr>
              <w:t>凹型</w:t>
            </w:r>
          </w:p>
        </w:tc>
        <w:tc>
          <w:tcPr>
            <w:tcW w:w="1296" w:type="dxa"/>
            <w:noWrap w:val="0"/>
            <w:vAlign w:val="center"/>
          </w:tcPr>
          <w:p>
            <w:pPr>
              <w:jc w:val="center"/>
              <w:rPr>
                <w:rFonts w:hint="eastAsia" w:ascii="仿宋" w:hAnsi="仿宋" w:eastAsia="仿宋" w:cs="仿宋"/>
                <w:szCs w:val="21"/>
              </w:rPr>
            </w:pPr>
            <w:r>
              <w:rPr>
                <w:rFonts w:hint="eastAsia" w:ascii="仿宋" w:hAnsi="仿宋" w:eastAsia="仿宋" w:cs="仿宋"/>
                <w:szCs w:val="21"/>
              </w:rPr>
              <w:t>一般/极限</w:t>
            </w:r>
          </w:p>
        </w:tc>
        <w:tc>
          <w:tcPr>
            <w:tcW w:w="1400" w:type="dxa"/>
            <w:noWrap w:val="0"/>
            <w:vAlign w:val="center"/>
          </w:tcPr>
          <w:p>
            <w:pPr>
              <w:jc w:val="center"/>
              <w:rPr>
                <w:rFonts w:hint="eastAsia" w:ascii="仿宋" w:hAnsi="仿宋" w:eastAsia="仿宋" w:cs="仿宋"/>
                <w:szCs w:val="21"/>
              </w:rPr>
            </w:pPr>
            <w:r>
              <w:rPr>
                <w:rFonts w:hint="eastAsia" w:ascii="仿宋" w:hAnsi="仿宋" w:eastAsia="仿宋" w:cs="仿宋"/>
                <w:szCs w:val="21"/>
              </w:rPr>
              <w:t>m</w:t>
            </w:r>
          </w:p>
        </w:tc>
        <w:tc>
          <w:tcPr>
            <w:tcW w:w="1478" w:type="dxa"/>
            <w:tcBorders>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rPr>
              <w:t>200/100</w:t>
            </w:r>
          </w:p>
        </w:tc>
        <w:tc>
          <w:tcPr>
            <w:tcW w:w="2210" w:type="dxa"/>
            <w:tcBorders>
              <w:lef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1000</w:t>
            </w:r>
            <w:r>
              <w:rPr>
                <w:rFonts w:hint="eastAsia" w:ascii="仿宋" w:hAnsi="仿宋" w:eastAsia="仿宋" w:cs="仿宋"/>
                <w:szCs w:val="21"/>
              </w:rPr>
              <w:t>/1</w:t>
            </w:r>
          </w:p>
        </w:tc>
      </w:tr>
    </w:tbl>
    <w:p>
      <w:pPr>
        <w:pStyle w:val="24"/>
        <w:keepNext w:val="0"/>
        <w:keepLines w:val="0"/>
        <w:pageBreakBefore w:val="0"/>
        <w:widowControl w:val="0"/>
        <w:kinsoku/>
        <w:wordWrap/>
        <w:overflowPunct/>
        <w:topLinePunct w:val="0"/>
        <w:autoSpaceDE/>
        <w:autoSpaceDN/>
        <w:bidi w:val="0"/>
        <w:adjustRightInd/>
        <w:snapToGrid w:val="0"/>
        <w:spacing w:line="570" w:lineRule="exact"/>
        <w:jc w:val="center"/>
        <w:textAlignment w:val="baseline"/>
        <w:rPr>
          <w:rFonts w:hint="eastAsia" w:ascii="仿宋" w:hAnsi="仿宋" w:eastAsia="仿宋" w:cs="仿宋"/>
          <w:spacing w:val="6"/>
          <w:sz w:val="32"/>
          <w:szCs w:val="32"/>
          <w:highlight w:val="none"/>
          <w:lang w:eastAsia="zh-CN"/>
        </w:rPr>
      </w:pP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16" w:name="_Toc14509"/>
      <w:r>
        <w:rPr>
          <w:rFonts w:hint="eastAsia" w:ascii="仿宋" w:hAnsi="仿宋" w:eastAsia="仿宋" w:cs="仿宋"/>
          <w:b/>
          <w:bCs/>
          <w:spacing w:val="6"/>
          <w:sz w:val="32"/>
          <w:szCs w:val="32"/>
          <w:lang w:eastAsia="zh-CN"/>
        </w:rPr>
        <w:t>（二）工程方案</w:t>
      </w:r>
      <w:bookmarkEnd w:id="16"/>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17" w:name="_Toc30332"/>
      <w:bookmarkStart w:id="18" w:name="_Toc32458"/>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项目实施进度计划</w:t>
      </w:r>
      <w:bookmarkEnd w:id="17"/>
      <w:bookmarkEnd w:id="1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根据路网现状、交通量预测、经济评价结果，推荐方案工</w:t>
      </w:r>
      <w:r>
        <w:rPr>
          <w:rFonts w:hint="eastAsia" w:ascii="仿宋" w:hAnsi="仿宋" w:eastAsia="仿宋" w:cs="仿宋"/>
          <w:spacing w:val="6"/>
          <w:sz w:val="32"/>
          <w:szCs w:val="32"/>
          <w:highlight w:val="none"/>
        </w:rPr>
        <w:t>程内容、建设规模、技术标准等，以及项目区域内地形、地质、水文条件和具体的场地建设条件，本项目的工程施工工期安排为</w:t>
      </w:r>
      <w:r>
        <w:rPr>
          <w:rFonts w:hint="eastAsia" w:ascii="仿宋" w:hAnsi="仿宋" w:eastAsia="仿宋" w:cs="仿宋"/>
          <w:spacing w:val="6"/>
          <w:sz w:val="32"/>
          <w:szCs w:val="32"/>
          <w:highlight w:val="none"/>
          <w:lang w:val="en-US" w:eastAsia="zh-CN"/>
        </w:rPr>
        <w:t>7</w:t>
      </w:r>
      <w:r>
        <w:rPr>
          <w:rFonts w:hint="eastAsia" w:ascii="仿宋" w:hAnsi="仿宋" w:eastAsia="仿宋" w:cs="仿宋"/>
          <w:spacing w:val="6"/>
          <w:sz w:val="32"/>
          <w:szCs w:val="32"/>
          <w:highlight w:val="none"/>
        </w:rPr>
        <w:t>个月，</w:t>
      </w:r>
      <w:r>
        <w:rPr>
          <w:rFonts w:hint="eastAsia" w:ascii="仿宋" w:hAnsi="仿宋" w:eastAsia="仿宋" w:cs="仿宋"/>
          <w:spacing w:val="6"/>
          <w:sz w:val="32"/>
          <w:szCs w:val="32"/>
          <w:highlight w:val="none"/>
          <w:lang w:eastAsia="zh-CN"/>
        </w:rPr>
        <w:t>施工时间拟在</w:t>
      </w:r>
      <w:r>
        <w:rPr>
          <w:rFonts w:hint="eastAsia" w:ascii="仿宋" w:hAnsi="仿宋" w:eastAsia="仿宋" w:cs="仿宋"/>
          <w:spacing w:val="6"/>
          <w:sz w:val="32"/>
          <w:szCs w:val="32"/>
          <w:highlight w:val="none"/>
          <w:lang w:val="en-US" w:eastAsia="zh-CN"/>
        </w:rPr>
        <w:t>2024年3月-9月</w:t>
      </w:r>
      <w:r>
        <w:rPr>
          <w:rFonts w:hint="eastAsia" w:ascii="仿宋" w:hAnsi="仿宋" w:eastAsia="仿宋" w:cs="仿宋"/>
          <w:spacing w:val="6"/>
          <w:sz w:val="32"/>
          <w:szCs w:val="32"/>
          <w:highlight w:val="none"/>
        </w:rPr>
        <w:t>。</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前期工作</w:t>
      </w:r>
      <w:r>
        <w:rPr>
          <w:rFonts w:hint="eastAsia" w:ascii="仿宋" w:hAnsi="仿宋" w:eastAsia="仿宋" w:cs="仿宋"/>
          <w:spacing w:val="6"/>
          <w:sz w:val="32"/>
          <w:szCs w:val="32"/>
          <w:lang w:eastAsia="zh-CN"/>
        </w:rPr>
        <w:t>完成情况</w:t>
      </w:r>
      <w:r>
        <w:rPr>
          <w:rFonts w:hint="eastAsia" w:ascii="仿宋" w:hAnsi="仿宋" w:eastAsia="仿宋" w:cs="仿宋"/>
          <w:spacing w:val="6"/>
          <w:sz w:val="32"/>
          <w:szCs w:val="32"/>
        </w:rPr>
        <w:t>:</w:t>
      </w:r>
      <w:r>
        <w:rPr>
          <w:rFonts w:hint="eastAsia" w:ascii="仿宋" w:hAnsi="仿宋" w:eastAsia="仿宋" w:cs="仿宋"/>
          <w:spacing w:val="6"/>
          <w:sz w:val="32"/>
          <w:szCs w:val="32"/>
          <w:lang w:val="en-US" w:eastAsia="zh-CN"/>
        </w:rPr>
        <w:t>目前项目前期手续已全部完成，待资金到位后即可实施。</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lang w:val="en-US" w:eastAsia="zh-CN"/>
        </w:rPr>
      </w:pPr>
      <w:bookmarkStart w:id="19" w:name="_Toc3652"/>
      <w:r>
        <w:rPr>
          <w:rFonts w:hint="eastAsia" w:ascii="仿宋" w:hAnsi="仿宋" w:eastAsia="仿宋" w:cs="仿宋"/>
          <w:b w:val="0"/>
          <w:bCs w:val="0"/>
          <w:spacing w:val="6"/>
          <w:sz w:val="32"/>
          <w:szCs w:val="32"/>
          <w:lang w:val="en-US" w:eastAsia="zh-CN"/>
        </w:rPr>
        <w:t>2、招标方案</w:t>
      </w:r>
      <w:bookmarkEnd w:id="1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建设过程中，要认真贯彻公路建设四项制度，即“项目法人责任制、招标投标制、工程监理和合同管理制”。项目实施前，应通过招、投标，选择资质等级高、信誉好、施工技术力量强的施工单位承担施工任务，工程实施中，监理单位应对每道工序认真检测，做好质量、工期、投资三大控制。项目法人对工程负责，处理好施工单位与监理单位的关系，以保证工程顺利实施。</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该项目的施工、监理等活动全部进行招标。</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该建设项目的招标组织形式拟采用委托招标，即由建设单位委托第三方组织招标活动。该建设项目的设计、施工、监理等活动拟采用委托招标方式。</w:t>
      </w:r>
    </w:p>
    <w:p>
      <w:pPr>
        <w:pageBreakBefore w:val="0"/>
        <w:kinsoku/>
        <w:wordWrap/>
        <w:overflowPunct/>
        <w:topLinePunct w:val="0"/>
        <w:bidi w:val="0"/>
        <w:spacing w:line="570" w:lineRule="exact"/>
        <w:ind w:firstLine="664"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拟建公路招标基本情况见表：</w:t>
      </w:r>
    </w:p>
    <w:p>
      <w:pPr>
        <w:pageBreakBefore w:val="0"/>
        <w:kinsoku/>
        <w:wordWrap/>
        <w:overflowPunct/>
        <w:topLinePunct w:val="0"/>
        <w:bidi w:val="0"/>
        <w:spacing w:line="570" w:lineRule="exact"/>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招　标　基　本　情　况　表</w:t>
      </w:r>
    </w:p>
    <w:tbl>
      <w:tblPr>
        <w:tblStyle w:val="13"/>
        <w:tblW w:w="0" w:type="auto"/>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093"/>
        <w:gridCol w:w="1403"/>
        <w:gridCol w:w="1008"/>
        <w:gridCol w:w="1348"/>
        <w:gridCol w:w="1348"/>
        <w:gridCol w:w="13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668" w:type="dxa"/>
            <w:vMerge w:val="restart"/>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名称项目</w:t>
            </w:r>
          </w:p>
        </w:tc>
        <w:tc>
          <w:tcPr>
            <w:tcW w:w="24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招标范围</w:t>
            </w:r>
          </w:p>
        </w:tc>
        <w:tc>
          <w:tcPr>
            <w:tcW w:w="235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招标组织形式</w:t>
            </w:r>
          </w:p>
        </w:tc>
        <w:tc>
          <w:tcPr>
            <w:tcW w:w="2696" w:type="dxa"/>
            <w:gridSpan w:val="2"/>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招标方式</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668" w:type="dxa"/>
            <w:vMerge w:val="continue"/>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全部</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部分</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自行</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委托</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公开</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邀请</w:t>
            </w:r>
          </w:p>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招标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建筑安装工程</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监理</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设备</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66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r>
              <w:rPr>
                <w:rFonts w:hint="eastAsia" w:ascii="仿宋" w:hAnsi="仿宋" w:eastAsia="仿宋" w:cs="仿宋"/>
                <w:spacing w:val="6"/>
                <w:kern w:val="2"/>
                <w:sz w:val="28"/>
                <w:szCs w:val="28"/>
                <w:lang w:val="en-US" w:eastAsia="zh-CN" w:bidi="ar-SA"/>
              </w:rPr>
              <w:t>设计</w:t>
            </w:r>
          </w:p>
        </w:tc>
        <w:tc>
          <w:tcPr>
            <w:tcW w:w="109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403"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00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c>
          <w:tcPr>
            <w:tcW w:w="1348" w:type="dxa"/>
            <w:noWrap w:val="0"/>
            <w:vAlign w:val="center"/>
          </w:tcPr>
          <w:p>
            <w:pPr>
              <w:pageBreakBefore w:val="0"/>
              <w:kinsoku/>
              <w:wordWrap/>
              <w:overflowPunct/>
              <w:topLinePunct w:val="0"/>
              <w:bidi w:val="0"/>
              <w:spacing w:line="570" w:lineRule="exact"/>
              <w:jc w:val="center"/>
              <w:rPr>
                <w:rFonts w:hint="eastAsia" w:ascii="仿宋" w:hAnsi="仿宋" w:eastAsia="仿宋" w:cs="仿宋"/>
                <w:spacing w:val="6"/>
                <w:kern w:val="2"/>
                <w:sz w:val="28"/>
                <w:szCs w:val="28"/>
                <w:lang w:val="en-US" w:eastAsia="zh-CN" w:bidi="ar-SA"/>
              </w:rPr>
            </w:pPr>
          </w:p>
        </w:tc>
      </w:tr>
    </w:tbl>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lang w:val="en-US" w:eastAsia="zh-CN"/>
        </w:rPr>
      </w:pPr>
      <w:bookmarkStart w:id="20" w:name="_Toc23197"/>
      <w:bookmarkStart w:id="21" w:name="_Toc27774"/>
      <w:r>
        <w:rPr>
          <w:rFonts w:hint="eastAsia" w:ascii="仿宋" w:hAnsi="仿宋" w:eastAsia="仿宋" w:cs="仿宋"/>
          <w:b w:val="0"/>
          <w:bCs w:val="0"/>
          <w:spacing w:val="6"/>
          <w:sz w:val="32"/>
          <w:szCs w:val="32"/>
          <w:lang w:val="en-US" w:eastAsia="zh-CN"/>
        </w:rPr>
        <w:t>3、项目公告公示</w:t>
      </w:r>
      <w:bookmarkEnd w:id="20"/>
      <w:bookmarkEnd w:id="2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项目实施按事前、事中、事后方式公示公告。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22" w:name="_Toc21898"/>
      <w:r>
        <w:rPr>
          <w:rFonts w:hint="eastAsia" w:ascii="仿宋" w:hAnsi="仿宋" w:eastAsia="仿宋" w:cs="仿宋"/>
          <w:b/>
          <w:bCs/>
          <w:spacing w:val="6"/>
          <w:sz w:val="32"/>
          <w:szCs w:val="32"/>
          <w:lang w:eastAsia="zh-CN"/>
        </w:rPr>
        <w:t>（三）建设管理方案</w:t>
      </w:r>
      <w:bookmarkEnd w:id="22"/>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3" w:name="_Toc29165"/>
      <w:bookmarkStart w:id="24" w:name="_Toc19512"/>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项目管理、监督检查制度</w:t>
      </w:r>
      <w:bookmarkEnd w:id="23"/>
      <w:bookmarkEnd w:id="2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保质保量按时完成该项目，需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5" w:name="_Toc30584"/>
      <w:bookmarkStart w:id="26" w:name="_Toc11811"/>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验收管理</w:t>
      </w:r>
      <w:bookmarkEnd w:id="25"/>
      <w:bookmarkEnd w:id="2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根据相关文件要求，坚持项目竣工验收制度，遵照属地管理、“谁审批、谁验收”的原则。按照村、乡、县三个级别逐级开展验收工作。</w:t>
      </w:r>
    </w:p>
    <w:p>
      <w:pPr>
        <w:pStyle w:val="24"/>
        <w:pageBreakBefore w:val="0"/>
        <w:kinsoku/>
        <w:wordWrap/>
        <w:overflowPunct/>
        <w:topLinePunct w:val="0"/>
        <w:bidi w:val="0"/>
        <w:snapToGrid w:val="0"/>
        <w:spacing w:line="570" w:lineRule="exact"/>
        <w:ind w:firstLine="0" w:firstLineChars="0"/>
        <w:textAlignment w:val="baseline"/>
        <w:outlineLvl w:val="1"/>
        <w:rPr>
          <w:rFonts w:hint="eastAsia" w:ascii="仿宋" w:hAnsi="仿宋" w:eastAsia="仿宋" w:cs="仿宋"/>
          <w:b w:val="0"/>
          <w:bCs w:val="0"/>
          <w:spacing w:val="6"/>
          <w:sz w:val="32"/>
          <w:szCs w:val="32"/>
        </w:rPr>
      </w:pPr>
      <w:bookmarkStart w:id="27" w:name="_Toc10526"/>
      <w:bookmarkStart w:id="28" w:name="_Toc15760"/>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运营模式和运营管理</w:t>
      </w:r>
      <w:bookmarkEnd w:id="27"/>
      <w:bookmarkEnd w:id="2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资产由交通运输局管理，登记纳入国有资产管理平台。后续养护责任由麦盖提县农村公路建设养护所、交通运输局执法大队以及组织护路员落实养护工作，定期对道路进行巡查，及时发现问题并及时解决。护路员工资及相关养护费用由对上争取的专项资金落实。</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29" w:name="_Toc6796"/>
      <w:r>
        <w:rPr>
          <w:rFonts w:hint="eastAsia" w:ascii="仿宋" w:hAnsi="仿宋" w:eastAsia="仿宋" w:cs="仿宋"/>
          <w:b/>
          <w:bCs/>
          <w:spacing w:val="6"/>
          <w:sz w:val="36"/>
          <w:szCs w:val="36"/>
          <w:lang w:eastAsia="zh-CN"/>
        </w:rPr>
        <w:t>总投资及资金筹措</w:t>
      </w:r>
      <w:bookmarkEnd w:id="29"/>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0" w:name="_Toc7039"/>
      <w:r>
        <w:rPr>
          <w:rFonts w:hint="eastAsia" w:ascii="仿宋" w:hAnsi="仿宋" w:eastAsia="仿宋" w:cs="仿宋"/>
          <w:b/>
          <w:bCs/>
          <w:spacing w:val="6"/>
          <w:sz w:val="32"/>
          <w:szCs w:val="32"/>
          <w:lang w:eastAsia="zh-CN"/>
        </w:rPr>
        <w:t>（一）工程概况</w:t>
      </w:r>
      <w:bookmarkEnd w:id="30"/>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新建产业道路（砂砾路）</w:t>
      </w:r>
      <w:r>
        <w:rPr>
          <w:rFonts w:hint="eastAsia" w:ascii="仿宋" w:hAnsi="仿宋" w:eastAsia="仿宋" w:cs="仿宋"/>
          <w:spacing w:val="6"/>
          <w:sz w:val="32"/>
          <w:szCs w:val="32"/>
          <w:highlight w:val="none"/>
          <w:lang w:val="en-US" w:eastAsia="zh-CN"/>
        </w:rPr>
        <w:t>16</w:t>
      </w:r>
      <w:r>
        <w:rPr>
          <w:rFonts w:hint="eastAsia" w:ascii="仿宋" w:hAnsi="仿宋" w:eastAsia="仿宋" w:cs="仿宋"/>
          <w:spacing w:val="6"/>
          <w:sz w:val="32"/>
          <w:szCs w:val="32"/>
          <w:highlight w:val="none"/>
          <w:lang w:eastAsia="zh-CN"/>
        </w:rPr>
        <w:t>公里，投资</w:t>
      </w:r>
      <w:r>
        <w:rPr>
          <w:rFonts w:hint="eastAsia" w:ascii="仿宋" w:hAnsi="仿宋" w:eastAsia="仿宋" w:cs="仿宋"/>
          <w:spacing w:val="6"/>
          <w:sz w:val="32"/>
          <w:szCs w:val="32"/>
          <w:highlight w:val="none"/>
          <w:lang w:val="en-US" w:eastAsia="zh-CN"/>
        </w:rPr>
        <w:t>400</w:t>
      </w:r>
      <w:r>
        <w:rPr>
          <w:rFonts w:hint="eastAsia" w:ascii="仿宋" w:hAnsi="仿宋" w:eastAsia="仿宋" w:cs="仿宋"/>
          <w:spacing w:val="6"/>
          <w:sz w:val="32"/>
          <w:szCs w:val="32"/>
          <w:highlight w:val="none"/>
          <w:lang w:eastAsia="zh-CN"/>
        </w:rPr>
        <w:t>万元。公路等级为四级，主要建设内容：路基工程、路面工程、涵洞工程及交通安全设施工程，位于我县吐曼塔勒乡境内。</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1" w:name="_Toc25567"/>
      <w:r>
        <w:rPr>
          <w:rFonts w:hint="eastAsia" w:ascii="仿宋" w:hAnsi="仿宋" w:eastAsia="仿宋" w:cs="仿宋"/>
          <w:b/>
          <w:bCs/>
          <w:spacing w:val="6"/>
          <w:sz w:val="32"/>
          <w:szCs w:val="32"/>
          <w:lang w:eastAsia="zh-CN"/>
        </w:rPr>
        <w:t>（二）编制依据及有关规定</w:t>
      </w:r>
      <w:bookmarkEnd w:id="31"/>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val="en-US" w:eastAsia="zh-CN"/>
        </w:rPr>
        <w:t>1）</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eastAsia="zh-CN"/>
        </w:rPr>
        <w:fldChar w:fldCharType="begin"/>
      </w:r>
      <w:r>
        <w:rPr>
          <w:rFonts w:hint="eastAsia" w:ascii="仿宋" w:hAnsi="仿宋" w:eastAsia="仿宋" w:cs="仿宋"/>
          <w:spacing w:val="6"/>
          <w:sz w:val="32"/>
          <w:szCs w:val="32"/>
          <w:highlight w:val="none"/>
          <w:lang w:eastAsia="zh-CN"/>
        </w:rPr>
        <w:instrText xml:space="preserve"> HYPERLINK "http://search.people.com.cn/rmw/GB/rmwsearch/gj_search_lj.jsp?keyword=%B9%AB%C2%B7%B9%A4%B3%CC" \t "_blank" </w:instrText>
      </w:r>
      <w:r>
        <w:rPr>
          <w:rFonts w:hint="eastAsia" w:ascii="仿宋" w:hAnsi="仿宋" w:eastAsia="仿宋" w:cs="仿宋"/>
          <w:spacing w:val="6"/>
          <w:sz w:val="32"/>
          <w:szCs w:val="32"/>
          <w:highlight w:val="none"/>
          <w:lang w:eastAsia="zh-CN"/>
        </w:rPr>
        <w:fldChar w:fldCharType="separate"/>
      </w:r>
      <w:r>
        <w:rPr>
          <w:rFonts w:hint="eastAsia" w:ascii="仿宋" w:hAnsi="仿宋" w:eastAsia="仿宋" w:cs="仿宋"/>
          <w:spacing w:val="6"/>
          <w:sz w:val="32"/>
          <w:szCs w:val="32"/>
          <w:highlight w:val="none"/>
          <w:lang w:eastAsia="zh-CN"/>
        </w:rPr>
        <w:t>公路工程</w:t>
      </w:r>
      <w:r>
        <w:rPr>
          <w:rFonts w:hint="eastAsia" w:ascii="仿宋" w:hAnsi="仿宋" w:eastAsia="仿宋" w:cs="仿宋"/>
          <w:spacing w:val="6"/>
          <w:sz w:val="32"/>
          <w:szCs w:val="32"/>
          <w:highlight w:val="none"/>
          <w:lang w:eastAsia="zh-CN"/>
        </w:rPr>
        <w:fldChar w:fldCharType="end"/>
      </w:r>
      <w:r>
        <w:rPr>
          <w:rFonts w:hint="eastAsia" w:ascii="仿宋" w:hAnsi="仿宋" w:eastAsia="仿宋" w:cs="仿宋"/>
          <w:spacing w:val="6"/>
          <w:sz w:val="32"/>
          <w:szCs w:val="32"/>
          <w:highlight w:val="none"/>
          <w:lang w:eastAsia="zh-CN"/>
        </w:rPr>
        <w:t>基本建设项目投资估算编制办法》（JTGM20-2018）和《公路工程估算指标》（JTG/TM3821-2018）。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2）《公路工程基本建设项目概算预算编制办法》（JTG3830--2018）、《公路工程预算定额》（JTG/T-3822--2018）和《公路工程机械台班费用定额》（JTG/T-3833--2018）。</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3）新疆维吾尔自治区交通厅新交造价〔2008〕2号发布的《新疆维吾尔自治区公路工程基本建设项目概算预算编制办法补充规定》和《新疆公路工程预算补充定额》的通知。</w:t>
      </w:r>
    </w:p>
    <w:p>
      <w:pPr>
        <w:pStyle w:val="24"/>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4）新疆公路工程定额站发布的“20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年第二季度乌鲁木齐地区材料供应价格表”及“十五地市20</w:t>
      </w:r>
      <w:r>
        <w:rPr>
          <w:rFonts w:hint="eastAsia" w:ascii="仿宋" w:hAnsi="仿宋" w:eastAsia="仿宋" w:cs="仿宋"/>
          <w:spacing w:val="6"/>
          <w:sz w:val="32"/>
          <w:szCs w:val="32"/>
          <w:highlight w:val="none"/>
          <w:lang w:val="en-US" w:eastAsia="zh-CN"/>
        </w:rPr>
        <w:t>23</w:t>
      </w:r>
      <w:r>
        <w:rPr>
          <w:rFonts w:hint="eastAsia" w:ascii="仿宋" w:hAnsi="仿宋" w:eastAsia="仿宋" w:cs="仿宋"/>
          <w:spacing w:val="6"/>
          <w:sz w:val="32"/>
          <w:szCs w:val="32"/>
          <w:highlight w:val="none"/>
          <w:lang w:eastAsia="zh-CN"/>
        </w:rPr>
        <w:t>年二季度主要材料价格信息表”。</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2" w:name="_Toc12357"/>
      <w:r>
        <w:rPr>
          <w:rFonts w:hint="eastAsia" w:ascii="仿宋" w:hAnsi="仿宋" w:eastAsia="仿宋" w:cs="仿宋"/>
          <w:b/>
          <w:bCs/>
          <w:spacing w:val="6"/>
          <w:sz w:val="32"/>
          <w:szCs w:val="32"/>
          <w:lang w:eastAsia="zh-CN"/>
        </w:rPr>
        <w:t>（三）工程估算</w:t>
      </w:r>
      <w:bookmarkEnd w:id="3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eastAsia="zh-CN"/>
        </w:rPr>
      </w:pPr>
      <w:r>
        <w:rPr>
          <w:rFonts w:hint="eastAsia" w:ascii="仿宋" w:hAnsi="仿宋" w:eastAsia="仿宋" w:cs="仿宋"/>
          <w:spacing w:val="6"/>
          <w:sz w:val="32"/>
          <w:szCs w:val="32"/>
          <w:highlight w:val="none"/>
          <w:lang w:eastAsia="zh-CN"/>
        </w:rPr>
        <w:t>方案建设里程全长</w:t>
      </w:r>
      <w:r>
        <w:rPr>
          <w:rFonts w:hint="eastAsia" w:ascii="仿宋" w:hAnsi="仿宋" w:eastAsia="仿宋" w:cs="仿宋"/>
          <w:spacing w:val="6"/>
          <w:sz w:val="32"/>
          <w:szCs w:val="32"/>
          <w:highlight w:val="none"/>
          <w:lang w:val="en-US" w:eastAsia="zh-CN"/>
        </w:rPr>
        <w:t>16</w:t>
      </w:r>
      <w:r>
        <w:rPr>
          <w:rFonts w:hint="eastAsia" w:ascii="仿宋" w:hAnsi="仿宋" w:eastAsia="仿宋" w:cs="仿宋"/>
          <w:spacing w:val="6"/>
          <w:sz w:val="32"/>
          <w:szCs w:val="32"/>
          <w:highlight w:val="none"/>
          <w:lang w:eastAsia="zh-CN"/>
        </w:rPr>
        <w:t>千米，估算投资人民币</w:t>
      </w:r>
      <w:r>
        <w:rPr>
          <w:rFonts w:hint="eastAsia" w:ascii="仿宋" w:hAnsi="仿宋" w:eastAsia="仿宋" w:cs="仿宋"/>
          <w:spacing w:val="6"/>
          <w:sz w:val="32"/>
          <w:szCs w:val="32"/>
          <w:highlight w:val="none"/>
          <w:lang w:val="en-US" w:eastAsia="zh-CN"/>
        </w:rPr>
        <w:t>400</w:t>
      </w:r>
      <w:r>
        <w:rPr>
          <w:rFonts w:hint="eastAsia" w:ascii="仿宋" w:hAnsi="仿宋" w:eastAsia="仿宋" w:cs="仿宋"/>
          <w:spacing w:val="6"/>
          <w:sz w:val="32"/>
          <w:szCs w:val="32"/>
          <w:highlight w:val="none"/>
          <w:lang w:eastAsia="zh-CN"/>
        </w:rPr>
        <w:t>万元，平均每千米造价</w:t>
      </w:r>
      <w:r>
        <w:rPr>
          <w:rFonts w:hint="eastAsia" w:ascii="仿宋" w:hAnsi="仿宋" w:eastAsia="仿宋" w:cs="仿宋"/>
          <w:spacing w:val="6"/>
          <w:sz w:val="32"/>
          <w:szCs w:val="32"/>
          <w:highlight w:val="none"/>
          <w:lang w:val="en-US" w:eastAsia="zh-CN"/>
        </w:rPr>
        <w:t>25</w:t>
      </w:r>
      <w:r>
        <w:rPr>
          <w:rFonts w:hint="eastAsia" w:ascii="仿宋" w:hAnsi="仿宋" w:eastAsia="仿宋" w:cs="仿宋"/>
          <w:spacing w:val="6"/>
          <w:sz w:val="32"/>
          <w:szCs w:val="32"/>
          <w:highlight w:val="none"/>
          <w:lang w:eastAsia="zh-CN"/>
        </w:rPr>
        <w:t>万元。投资估算结果详见表</w:t>
      </w:r>
      <w:r>
        <w:rPr>
          <w:rFonts w:hint="eastAsia" w:ascii="仿宋" w:hAnsi="仿宋" w:eastAsia="仿宋" w:cs="仿宋"/>
          <w:spacing w:val="6"/>
          <w:sz w:val="32"/>
          <w:szCs w:val="32"/>
          <w:highlight w:val="none"/>
          <w:lang w:val="en-US" w:eastAsia="zh-CN"/>
        </w:rPr>
        <w:t>6-1</w:t>
      </w:r>
      <w:r>
        <w:rPr>
          <w:rFonts w:hint="eastAsia" w:ascii="仿宋" w:hAnsi="仿宋" w:eastAsia="仿宋" w:cs="仿宋"/>
          <w:spacing w:val="6"/>
          <w:sz w:val="32"/>
          <w:szCs w:val="32"/>
          <w:highlight w:val="none"/>
          <w:lang w:eastAsia="zh-CN"/>
        </w:rPr>
        <w:t>。</w:t>
      </w:r>
    </w:p>
    <w:p>
      <w:pPr>
        <w:spacing w:line="560" w:lineRule="exact"/>
        <w:jc w:val="center"/>
        <w:rPr>
          <w:rFonts w:hint="eastAsia" w:ascii="仿宋" w:hAnsi="仿宋" w:eastAsia="仿宋" w:cs="仿宋"/>
          <w:color w:val="auto"/>
          <w:sz w:val="20"/>
          <w:szCs w:val="28"/>
          <w:lang w:val="en-US" w:eastAsia="zh-CN"/>
        </w:rPr>
      </w:pPr>
      <w:r>
        <w:rPr>
          <w:rFonts w:hint="eastAsia" w:ascii="仿宋" w:hAnsi="仿宋" w:eastAsia="仿宋" w:cs="仿宋"/>
          <w:b/>
          <w:color w:val="auto"/>
          <w:sz w:val="28"/>
          <w:szCs w:val="28"/>
        </w:rPr>
        <w:t>方案投资估算结果表</w:t>
      </w:r>
      <w:r>
        <w:rPr>
          <w:rFonts w:hint="eastAsia" w:ascii="仿宋" w:hAnsi="仿宋" w:eastAsia="仿宋" w:cs="仿宋"/>
          <w:color w:val="auto"/>
          <w:sz w:val="20"/>
          <w:szCs w:val="28"/>
          <w:lang w:val="en-US" w:eastAsia="zh-CN"/>
        </w:rPr>
        <w:t>6-1</w:t>
      </w:r>
    </w:p>
    <w:p>
      <w:pPr>
        <w:spacing w:line="0" w:lineRule="atLeast"/>
        <w:jc w:val="center"/>
        <w:rPr>
          <w:rFonts w:hint="eastAsia" w:ascii="仿宋" w:hAnsi="仿宋" w:eastAsia="仿宋" w:cs="仿宋"/>
          <w:color w:val="auto"/>
          <w:sz w:val="22"/>
          <w:szCs w:val="28"/>
        </w:rPr>
      </w:pPr>
    </w:p>
    <w:tbl>
      <w:tblPr>
        <w:tblStyle w:val="13"/>
        <w:tblW w:w="9253" w:type="dxa"/>
        <w:tblInd w:w="3"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2"/>
        <w:gridCol w:w="1563"/>
        <w:gridCol w:w="1556"/>
        <w:gridCol w:w="1832"/>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430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方案名称</w:t>
            </w:r>
          </w:p>
        </w:tc>
        <w:tc>
          <w:tcPr>
            <w:tcW w:w="1563"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建设路线长度</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（千米）</w:t>
            </w:r>
          </w:p>
        </w:tc>
        <w:tc>
          <w:tcPr>
            <w:tcW w:w="1556"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估算总金额</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c>
          <w:tcPr>
            <w:tcW w:w="1832" w:type="dxa"/>
            <w:noWrap w:val="0"/>
            <w:vAlign w:val="center"/>
          </w:tcPr>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平均每千米造价</w:t>
            </w:r>
          </w:p>
          <w:p>
            <w:pPr>
              <w:spacing w:line="0" w:lineRule="atLeast"/>
              <w:jc w:val="center"/>
              <w:rPr>
                <w:rFonts w:hint="eastAsia" w:ascii="仿宋" w:hAnsi="仿宋" w:eastAsia="仿宋" w:cs="仿宋"/>
                <w:color w:val="auto"/>
                <w:sz w:val="22"/>
                <w:szCs w:val="22"/>
              </w:rPr>
            </w:pPr>
            <w:r>
              <w:rPr>
                <w:rFonts w:hint="eastAsia" w:ascii="仿宋" w:hAnsi="仿宋" w:eastAsia="仿宋" w:cs="仿宋"/>
                <w:color w:val="auto"/>
                <w:sz w:val="22"/>
                <w:szCs w:val="22"/>
              </w:rPr>
              <w:t>（万元）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4302" w:type="dxa"/>
            <w:noWrap w:val="0"/>
            <w:vAlign w:val="center"/>
          </w:tcPr>
          <w:p>
            <w:pPr>
              <w:widowControl/>
              <w:jc w:val="center"/>
              <w:rPr>
                <w:rFonts w:hint="eastAsia" w:ascii="仿宋" w:hAnsi="仿宋" w:eastAsia="仿宋" w:cs="仿宋"/>
                <w:color w:val="auto"/>
                <w:sz w:val="22"/>
                <w:szCs w:val="22"/>
              </w:rPr>
            </w:pPr>
            <w:r>
              <w:rPr>
                <w:rFonts w:hint="eastAsia" w:ascii="仿宋" w:hAnsi="仿宋" w:eastAsia="仿宋" w:cs="仿宋"/>
                <w:color w:val="auto"/>
                <w:sz w:val="24"/>
                <w:szCs w:val="24"/>
                <w:lang w:val="en-US" w:eastAsia="zh-CN"/>
              </w:rPr>
              <w:t>麦盖提县吐曼塔勒乡产业发展配套道路建设2024年中央财政以工代赈项目</w:t>
            </w:r>
          </w:p>
        </w:tc>
        <w:tc>
          <w:tcPr>
            <w:tcW w:w="1563"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16</w:t>
            </w:r>
          </w:p>
        </w:tc>
        <w:tc>
          <w:tcPr>
            <w:tcW w:w="1556"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400</w:t>
            </w:r>
          </w:p>
        </w:tc>
        <w:tc>
          <w:tcPr>
            <w:tcW w:w="1832" w:type="dxa"/>
            <w:noWrap w:val="0"/>
            <w:vAlign w:val="center"/>
          </w:tcPr>
          <w:p>
            <w:pPr>
              <w:spacing w:line="0" w:lineRule="atLeast"/>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25</w:t>
            </w:r>
          </w:p>
        </w:tc>
      </w:tr>
    </w:tbl>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3" w:name="_Toc1260"/>
      <w:r>
        <w:rPr>
          <w:rFonts w:hint="eastAsia" w:ascii="仿宋" w:hAnsi="仿宋" w:eastAsia="仿宋" w:cs="仿宋"/>
          <w:b/>
          <w:bCs/>
          <w:spacing w:val="6"/>
          <w:sz w:val="32"/>
          <w:szCs w:val="32"/>
          <w:lang w:eastAsia="zh-CN"/>
        </w:rPr>
        <w:t>（四）总投资及资金筹措方案</w:t>
      </w:r>
      <w:bookmarkEnd w:id="33"/>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万元，含劳务报酬发放共计</w:t>
      </w:r>
      <w:r>
        <w:rPr>
          <w:rFonts w:hint="eastAsia" w:ascii="仿宋" w:hAnsi="仿宋" w:eastAsia="仿宋" w:cs="仿宋"/>
          <w:spacing w:val="6"/>
          <w:sz w:val="32"/>
          <w:szCs w:val="32"/>
          <w:lang w:val="en-US" w:eastAsia="zh-CN"/>
        </w:rPr>
        <w:t>83</w:t>
      </w:r>
      <w:r>
        <w:rPr>
          <w:rFonts w:hint="eastAsia" w:ascii="仿宋" w:hAnsi="仿宋" w:eastAsia="仿宋" w:cs="仿宋"/>
          <w:spacing w:val="6"/>
          <w:sz w:val="32"/>
          <w:szCs w:val="32"/>
        </w:rPr>
        <w:t>万元，占</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rPr>
        <w:t>的</w:t>
      </w:r>
      <w:r>
        <w:rPr>
          <w:rFonts w:hint="eastAsia" w:ascii="仿宋" w:hAnsi="仿宋" w:eastAsia="仿宋" w:cs="仿宋"/>
          <w:spacing w:val="6"/>
          <w:sz w:val="32"/>
          <w:szCs w:val="32"/>
          <w:lang w:val="en-US" w:eastAsia="zh-CN"/>
        </w:rPr>
        <w:t>20.75</w:t>
      </w:r>
      <w:r>
        <w:rPr>
          <w:rFonts w:hint="eastAsia" w:ascii="仿宋" w:hAnsi="仿宋" w:eastAsia="仿宋" w:cs="仿宋"/>
          <w:spacing w:val="6"/>
          <w:sz w:val="32"/>
          <w:szCs w:val="32"/>
        </w:rPr>
        <w:t>%。</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万元，申请</w:t>
      </w:r>
      <w:r>
        <w:rPr>
          <w:rFonts w:hint="eastAsia" w:ascii="仿宋" w:hAnsi="仿宋" w:eastAsia="仿宋" w:cs="仿宋"/>
          <w:spacing w:val="6"/>
          <w:sz w:val="32"/>
          <w:szCs w:val="32"/>
          <w:lang w:eastAsia="zh-CN"/>
        </w:rPr>
        <w:t>中央预算内资金</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4" w:name="_Toc6687"/>
      <w:r>
        <w:rPr>
          <w:rFonts w:hint="eastAsia" w:ascii="仿宋" w:hAnsi="仿宋" w:eastAsia="仿宋" w:cs="仿宋"/>
          <w:b/>
          <w:bCs/>
          <w:spacing w:val="6"/>
          <w:sz w:val="32"/>
          <w:szCs w:val="32"/>
          <w:lang w:eastAsia="zh-CN"/>
        </w:rPr>
        <w:t>（五）资金使用计划</w:t>
      </w:r>
      <w:bookmarkEnd w:id="3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乡村振兴战略是新时代做好“三农”工作的总抓手。2018年两会期间，中共中央总书记、国家主席、中央军委主席习近平提出要推动乡村产业振兴、人才振兴、文化振兴、生态振兴和组织振兴。9月26日发布的《乡村振兴战略规划（2018－2022年）》也明确，要科学有序推动乡村产业、人才、文化、生态和组织振兴。项目实施单位依据项目计划和实施进度</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提出支付申请并提供相关真实、合规的证明材料，制定资金使用计划，经审核后按照国库集中支付管理制度的规定和程序及时支付资金。从国库直接支付到扶贫项目承担的企业、商户或建档立卡</w:t>
      </w:r>
      <w:r>
        <w:rPr>
          <w:rFonts w:hint="eastAsia" w:ascii="仿宋" w:hAnsi="仿宋" w:eastAsia="仿宋" w:cs="仿宋"/>
          <w:spacing w:val="6"/>
          <w:sz w:val="32"/>
          <w:szCs w:val="32"/>
          <w:lang w:eastAsia="zh-CN"/>
        </w:rPr>
        <w:t>低收入</w:t>
      </w:r>
      <w:r>
        <w:rPr>
          <w:rFonts w:hint="eastAsia" w:ascii="仿宋" w:hAnsi="仿宋" w:eastAsia="仿宋" w:cs="仿宋"/>
          <w:spacing w:val="6"/>
          <w:sz w:val="32"/>
          <w:szCs w:val="32"/>
        </w:rPr>
        <w:t>户个人。严格执行专款专用，杜绝挤占、挪用项目资金，严禁虚列支出、以拨代支虚增项目进度。项目资金支付后</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在审计或检查中发现资金使用存在违法违规问题的，应及时追回、收回。对资金使用严格监管，防止资金使用不精准、虚报冒领。为加快资金支出进度，扶贫项目可实行预付款制，预付资金总额合计原则上不超过应付该项目资金总额的50%，其中：基础建设类项目预付资金原则上不超过合同金额的30%。</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5" w:name="_Toc7939"/>
      <w:r>
        <w:rPr>
          <w:rFonts w:hint="eastAsia" w:ascii="仿宋" w:hAnsi="仿宋" w:eastAsia="仿宋" w:cs="仿宋"/>
          <w:b/>
          <w:bCs/>
          <w:spacing w:val="6"/>
          <w:sz w:val="32"/>
          <w:szCs w:val="32"/>
          <w:lang w:eastAsia="zh-CN"/>
        </w:rPr>
        <w:t>（六）项目工程预算表</w:t>
      </w:r>
      <w:bookmarkEnd w:id="3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highlight w:val="none"/>
          <w:lang w:val="en-US" w:eastAsia="zh-CN"/>
        </w:rPr>
      </w:pPr>
      <w:r>
        <w:rPr>
          <w:rFonts w:hint="eastAsia" w:ascii="仿宋" w:hAnsi="仿宋" w:eastAsia="仿宋" w:cs="仿宋"/>
          <w:spacing w:val="6"/>
          <w:sz w:val="32"/>
          <w:szCs w:val="32"/>
          <w:highlight w:val="none"/>
          <w:lang w:eastAsia="zh-CN"/>
        </w:rPr>
        <w:t>见附件</w:t>
      </w:r>
      <w:r>
        <w:rPr>
          <w:rFonts w:hint="eastAsia" w:ascii="仿宋" w:hAnsi="仿宋" w:eastAsia="仿宋" w:cs="仿宋"/>
          <w:spacing w:val="6"/>
          <w:sz w:val="32"/>
          <w:szCs w:val="32"/>
          <w:highlight w:val="none"/>
          <w:lang w:val="en-US" w:eastAsia="zh-CN"/>
        </w:rPr>
        <w:t>1</w:t>
      </w:r>
    </w:p>
    <w:p>
      <w:pPr>
        <w:pStyle w:val="24"/>
        <w:pageBreakBefore w:val="0"/>
        <w:kinsoku/>
        <w:wordWrap/>
        <w:overflowPunct/>
        <w:topLinePunct w:val="0"/>
        <w:bidi w:val="0"/>
        <w:snapToGrid w:val="0"/>
        <w:spacing w:line="570" w:lineRule="exact"/>
        <w:ind w:firstLine="664"/>
        <w:textAlignment w:val="baseline"/>
        <w:rPr>
          <w:rFonts w:hint="default" w:ascii="仿宋" w:hAnsi="仿宋" w:eastAsia="仿宋" w:cs="仿宋"/>
          <w:spacing w:val="6"/>
          <w:sz w:val="32"/>
          <w:szCs w:val="32"/>
          <w:highlight w:val="none"/>
          <w:lang w:val="en-US" w:eastAsia="zh-CN"/>
        </w:rPr>
      </w:pPr>
    </w:p>
    <w:p>
      <w:pPr>
        <w:pStyle w:val="24"/>
        <w:pageBreakBefore w:val="0"/>
        <w:numPr>
          <w:ilvl w:val="0"/>
          <w:numId w:val="2"/>
        </w:numPr>
        <w:kinsoku/>
        <w:wordWrap/>
        <w:overflowPunct/>
        <w:topLinePunct w:val="0"/>
        <w:bidi w:val="0"/>
        <w:snapToGrid w:val="0"/>
        <w:spacing w:line="570" w:lineRule="exact"/>
        <w:ind w:left="-420" w:leftChars="0" w:firstLineChars="0"/>
        <w:textAlignment w:val="baseline"/>
        <w:outlineLvl w:val="0"/>
        <w:rPr>
          <w:rFonts w:hint="eastAsia" w:ascii="仿宋" w:hAnsi="仿宋" w:eastAsia="仿宋" w:cs="仿宋"/>
          <w:b/>
          <w:bCs/>
          <w:spacing w:val="6"/>
          <w:sz w:val="36"/>
          <w:szCs w:val="36"/>
          <w:lang w:eastAsia="zh-CN"/>
        </w:rPr>
      </w:pPr>
      <w:bookmarkStart w:id="36" w:name="_Toc2322"/>
      <w:r>
        <w:rPr>
          <w:rFonts w:hint="eastAsia" w:ascii="仿宋" w:hAnsi="仿宋" w:eastAsia="仿宋" w:cs="仿宋"/>
          <w:b/>
          <w:bCs/>
          <w:spacing w:val="6"/>
          <w:sz w:val="36"/>
          <w:szCs w:val="36"/>
          <w:lang w:eastAsia="zh-CN"/>
        </w:rPr>
        <w:t>项目用工需求和劳务报酬测算</w:t>
      </w:r>
      <w:bookmarkEnd w:id="3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项目建设过程中，能用人工的尽量不用机械，能用当地群众的不用专业队伍，拟用工种为机械工、</w:t>
      </w:r>
      <w:r>
        <w:rPr>
          <w:rFonts w:hint="eastAsia" w:ascii="仿宋" w:hAnsi="仿宋" w:eastAsia="仿宋" w:cs="仿宋"/>
          <w:spacing w:val="6"/>
          <w:sz w:val="32"/>
          <w:szCs w:val="32"/>
          <w:lang w:eastAsia="zh-CN"/>
        </w:rPr>
        <w:t>杂工</w:t>
      </w:r>
      <w:r>
        <w:rPr>
          <w:rFonts w:hint="eastAsia" w:ascii="仿宋" w:hAnsi="仿宋" w:eastAsia="仿宋" w:cs="仿宋"/>
          <w:spacing w:val="6"/>
          <w:sz w:val="32"/>
          <w:szCs w:val="32"/>
        </w:rPr>
        <w:t>等，预计带动务工群众</w:t>
      </w:r>
      <w:r>
        <w:rPr>
          <w:rFonts w:hint="eastAsia" w:ascii="仿宋" w:hAnsi="仿宋" w:eastAsia="仿宋" w:cs="仿宋"/>
          <w:spacing w:val="6"/>
          <w:sz w:val="32"/>
          <w:szCs w:val="32"/>
          <w:lang w:val="en-US" w:eastAsia="zh-CN"/>
        </w:rPr>
        <w:t>71</w:t>
      </w:r>
      <w:r>
        <w:rPr>
          <w:rFonts w:hint="eastAsia" w:ascii="仿宋" w:hAnsi="仿宋" w:eastAsia="仿宋" w:cs="仿宋"/>
          <w:spacing w:val="6"/>
          <w:sz w:val="32"/>
          <w:szCs w:val="32"/>
        </w:rPr>
        <w:t>人，（</w:t>
      </w:r>
      <w:r>
        <w:rPr>
          <w:rFonts w:hint="eastAsia" w:ascii="仿宋" w:hAnsi="仿宋" w:eastAsia="仿宋" w:cs="仿宋"/>
          <w:spacing w:val="6"/>
          <w:sz w:val="32"/>
          <w:szCs w:val="32"/>
          <w:lang w:eastAsia="zh-CN"/>
        </w:rPr>
        <w:t>其中</w:t>
      </w:r>
      <w:r>
        <w:rPr>
          <w:rFonts w:hint="eastAsia" w:ascii="仿宋" w:hAnsi="仿宋" w:eastAsia="仿宋" w:cs="仿宋"/>
          <w:color w:val="auto"/>
          <w:spacing w:val="6"/>
          <w:sz w:val="32"/>
          <w:szCs w:val="32"/>
        </w:rPr>
        <w:t>易地搬迁群众1</w:t>
      </w:r>
      <w:r>
        <w:rPr>
          <w:rFonts w:hint="eastAsia" w:ascii="仿宋" w:hAnsi="仿宋" w:eastAsia="仿宋" w:cs="仿宋"/>
          <w:color w:val="auto"/>
          <w:spacing w:val="6"/>
          <w:sz w:val="32"/>
          <w:szCs w:val="32"/>
          <w:lang w:val="en-US" w:eastAsia="zh-CN"/>
        </w:rPr>
        <w:t>0</w:t>
      </w:r>
      <w:r>
        <w:rPr>
          <w:rFonts w:hint="eastAsia" w:ascii="仿宋" w:hAnsi="仿宋" w:eastAsia="仿宋" w:cs="仿宋"/>
          <w:color w:val="auto"/>
          <w:spacing w:val="6"/>
          <w:sz w:val="32"/>
          <w:szCs w:val="32"/>
        </w:rPr>
        <w:t>人），</w:t>
      </w:r>
      <w:r>
        <w:rPr>
          <w:rFonts w:hint="eastAsia" w:ascii="仿宋" w:hAnsi="仿宋" w:eastAsia="仿宋" w:cs="仿宋"/>
          <w:spacing w:val="6"/>
          <w:sz w:val="32"/>
          <w:szCs w:val="32"/>
        </w:rPr>
        <w:t>预计需要用工</w:t>
      </w:r>
      <w:r>
        <w:rPr>
          <w:rFonts w:hint="eastAsia" w:ascii="仿宋" w:hAnsi="仿宋" w:eastAsia="仿宋" w:cs="仿宋"/>
          <w:spacing w:val="6"/>
          <w:sz w:val="32"/>
          <w:szCs w:val="32"/>
          <w:lang w:val="en-US" w:eastAsia="zh-CN"/>
        </w:rPr>
        <w:t>6390</w:t>
      </w:r>
      <w:r>
        <w:rPr>
          <w:rFonts w:hint="eastAsia" w:ascii="仿宋" w:hAnsi="仿宋" w:eastAsia="仿宋" w:cs="仿宋"/>
          <w:spacing w:val="6"/>
          <w:sz w:val="32"/>
          <w:szCs w:val="32"/>
        </w:rPr>
        <w:t>工日，人均工资1</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0元/天，发放劳务报酬</w:t>
      </w:r>
      <w:r>
        <w:rPr>
          <w:rFonts w:hint="eastAsia" w:ascii="仿宋" w:hAnsi="仿宋" w:eastAsia="仿宋" w:cs="仿宋"/>
          <w:spacing w:val="6"/>
          <w:sz w:val="32"/>
          <w:szCs w:val="32"/>
          <w:lang w:val="en-US" w:eastAsia="zh-CN"/>
        </w:rPr>
        <w:t>83</w:t>
      </w:r>
      <w:r>
        <w:rPr>
          <w:rFonts w:hint="eastAsia" w:ascii="仿宋" w:hAnsi="仿宋" w:eastAsia="仿宋" w:cs="仿宋"/>
          <w:spacing w:val="6"/>
          <w:sz w:val="32"/>
          <w:szCs w:val="32"/>
        </w:rPr>
        <w:t>万元，直接提高农民工资性收入。</w:t>
      </w: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表一：工程项目实施农村劳动力劳务总额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5"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序号</w:t>
            </w:r>
          </w:p>
        </w:tc>
        <w:tc>
          <w:tcPr>
            <w:tcW w:w="1583" w:type="dxa"/>
            <w:vMerge w:val="restart"/>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项目或费用名称</w:t>
            </w:r>
          </w:p>
        </w:tc>
        <w:tc>
          <w:tcPr>
            <w:tcW w:w="6472" w:type="dxa"/>
            <w:gridSpan w:val="5"/>
            <w:vAlign w:val="center"/>
          </w:tcPr>
          <w:p>
            <w:pPr>
              <w:pStyle w:val="24"/>
              <w:pageBreakBefore w:val="0"/>
              <w:tabs>
                <w:tab w:val="left" w:pos="1692"/>
              </w:tabs>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583" w:type="dxa"/>
            <w:vMerge w:val="continue"/>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吸纳务工（工日）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用人数量</w:t>
            </w:r>
            <w:bookmarkStart w:id="66" w:name="_GoBack"/>
            <w:bookmarkEnd w:id="66"/>
            <w:r>
              <w:rPr>
                <w:rFonts w:hint="eastAsia" w:ascii="仿宋" w:hAnsi="仿宋" w:eastAsia="仿宋" w:cs="仿宋"/>
                <w:spacing w:val="6"/>
                <w:sz w:val="24"/>
                <w:szCs w:val="24"/>
              </w:rPr>
              <w:t>（人）</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其中：易地搬迁人口用工（人）</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劳务报酬（万元）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其中：易地搬迁人口劳务报酬（万元）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道路建设</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rPr>
            </w:pPr>
            <w:r>
              <w:rPr>
                <w:rFonts w:hint="eastAsia" w:ascii="仿宋" w:hAnsi="仿宋" w:eastAsia="仿宋" w:cs="仿宋"/>
                <w:i w:val="0"/>
                <w:iCs w:val="0"/>
                <w:color w:val="000000"/>
                <w:kern w:val="0"/>
                <w:sz w:val="24"/>
                <w:szCs w:val="24"/>
                <w:u w:val="none"/>
                <w:lang w:val="en-US" w:eastAsia="zh-CN" w:bidi="ar"/>
              </w:rPr>
              <w:t>6390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71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7</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83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路基工程</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3870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43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50 </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路面工程</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2430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27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32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24"/>
                <w:szCs w:val="24"/>
                <w:lang w:eastAsia="zh-CN"/>
              </w:rPr>
            </w:pPr>
            <w:r>
              <w:rPr>
                <w:rFonts w:hint="eastAsia" w:ascii="仿宋" w:hAnsi="仿宋" w:eastAsia="仿宋" w:cs="仿宋"/>
                <w:i w:val="0"/>
                <w:iCs w:val="0"/>
                <w:color w:val="000000"/>
                <w:kern w:val="0"/>
                <w:sz w:val="24"/>
                <w:szCs w:val="24"/>
                <w:u w:val="none"/>
                <w:lang w:val="en-US" w:eastAsia="zh-CN" w:bidi="ar"/>
              </w:rPr>
              <w:t>1.3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附属设施</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90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1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1</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5" w:type="dxa"/>
            <w:vAlign w:val="center"/>
          </w:tcPr>
          <w:p>
            <w:pPr>
              <w:jc w:val="center"/>
              <w:rPr>
                <w:rFonts w:hint="eastAsia" w:ascii="仿宋" w:hAnsi="仿宋" w:eastAsia="仿宋" w:cs="仿宋"/>
                <w:spacing w:val="6"/>
                <w:sz w:val="24"/>
                <w:szCs w:val="24"/>
              </w:rPr>
            </w:pP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6390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71 </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24"/>
                <w:szCs w:val="24"/>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83 </w:t>
            </w:r>
          </w:p>
        </w:tc>
        <w:tc>
          <w:tcPr>
            <w:tcW w:w="1295" w:type="dxa"/>
            <w:vAlign w:val="center"/>
          </w:tcPr>
          <w:p>
            <w:pPr>
              <w:keepNext w:val="0"/>
              <w:keepLines w:val="0"/>
              <w:widowControl/>
              <w:suppressLineNumbers w:val="0"/>
              <w:jc w:val="center"/>
              <w:textAlignment w:val="center"/>
              <w:rPr>
                <w:rFonts w:hint="default" w:ascii="仿宋" w:hAnsi="仿宋" w:eastAsia="仿宋" w:cs="仿宋"/>
                <w:spacing w:val="6"/>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 </w:t>
            </w:r>
          </w:p>
        </w:tc>
      </w:tr>
    </w:tbl>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val="0"/>
        <w:spacing w:line="570" w:lineRule="exact"/>
        <w:ind w:firstLine="1168" w:firstLineChars="400"/>
        <w:textAlignment w:val="baseline"/>
        <w:outlineLvl w:val="9"/>
        <w:rPr>
          <w:rFonts w:hint="eastAsia" w:ascii="仿宋" w:hAnsi="仿宋" w:eastAsia="仿宋" w:cs="仿宋"/>
          <w:b w:val="0"/>
          <w:bCs w:val="0"/>
          <w:spacing w:val="6"/>
          <w:sz w:val="28"/>
          <w:szCs w:val="28"/>
        </w:rPr>
      </w:pPr>
      <w:r>
        <w:rPr>
          <w:rFonts w:hint="eastAsia" w:ascii="仿宋" w:hAnsi="仿宋" w:eastAsia="仿宋" w:cs="仿宋"/>
          <w:b w:val="0"/>
          <w:bCs w:val="0"/>
          <w:spacing w:val="6"/>
          <w:sz w:val="28"/>
          <w:szCs w:val="28"/>
        </w:rPr>
        <w:t>表二：工程项目实施农村劳动力劳务总额</w:t>
      </w:r>
      <w:r>
        <w:rPr>
          <w:rFonts w:hint="eastAsia" w:ascii="仿宋" w:hAnsi="仿宋" w:eastAsia="仿宋" w:cs="仿宋"/>
          <w:b w:val="0"/>
          <w:bCs w:val="0"/>
          <w:spacing w:val="6"/>
          <w:sz w:val="28"/>
          <w:szCs w:val="28"/>
          <w:lang w:eastAsia="zh-CN"/>
        </w:rPr>
        <w:t>测算</w:t>
      </w:r>
      <w:r>
        <w:rPr>
          <w:rFonts w:hint="eastAsia" w:ascii="仿宋" w:hAnsi="仿宋" w:eastAsia="仿宋" w:cs="仿宋"/>
          <w:b w:val="0"/>
          <w:bCs w:val="0"/>
          <w:spacing w:val="6"/>
          <w:sz w:val="28"/>
          <w:szCs w:val="28"/>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83"/>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0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序号</w:t>
            </w:r>
          </w:p>
        </w:tc>
        <w:tc>
          <w:tcPr>
            <w:tcW w:w="1583"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工种</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r>
              <w:rPr>
                <w:rFonts w:hint="eastAsia" w:ascii="仿宋" w:hAnsi="仿宋" w:eastAsia="仿宋" w:cs="仿宋"/>
                <w:spacing w:val="6"/>
                <w:sz w:val="24"/>
                <w:szCs w:val="24"/>
              </w:rPr>
              <w:t>发放标准（元/日）</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计划用工人数</w:t>
            </w:r>
          </w:p>
        </w:tc>
        <w:tc>
          <w:tcPr>
            <w:tcW w:w="1294"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2"/>
              </w:rPr>
              <w:t>计划工时（工日）</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24"/>
                <w:szCs w:val="24"/>
              </w:rPr>
              <w:t>发放金额（万元）</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24"/>
                <w:szCs w:val="24"/>
              </w:rPr>
            </w:pPr>
            <w:r>
              <w:rPr>
                <w:rFonts w:hint="eastAsia" w:ascii="仿宋" w:hAnsi="仿宋" w:eastAsia="仿宋" w:cs="仿宋"/>
                <w:spacing w:val="6"/>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水泥工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270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4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钢筋工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2</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180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2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机械工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木工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安全劝导员</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540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6</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养护工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360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7</w:t>
            </w:r>
          </w:p>
        </w:tc>
        <w:tc>
          <w:tcPr>
            <w:tcW w:w="1583"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杂工</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130</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46</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4140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54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3"/>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合计</w:t>
            </w:r>
          </w:p>
        </w:tc>
        <w:tc>
          <w:tcPr>
            <w:tcW w:w="1294"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71 </w:t>
            </w:r>
          </w:p>
        </w:tc>
        <w:tc>
          <w:tcPr>
            <w:tcW w:w="1294" w:type="dxa"/>
            <w:vAlign w:val="center"/>
          </w:tcPr>
          <w:p>
            <w:pPr>
              <w:keepNext w:val="0"/>
              <w:keepLines w:val="0"/>
              <w:widowControl/>
              <w:suppressLineNumbers w:val="0"/>
              <w:jc w:val="center"/>
              <w:textAlignment w:val="center"/>
              <w:rPr>
                <w:rFonts w:hint="default" w:ascii="仿宋" w:hAnsi="仿宋" w:eastAsia="仿宋" w:cs="仿宋"/>
                <w:spacing w:val="6"/>
                <w:sz w:val="32"/>
                <w:szCs w:val="32"/>
                <w:lang w:val="en-US" w:eastAsia="zh-CN"/>
              </w:rPr>
            </w:pPr>
            <w:r>
              <w:rPr>
                <w:rFonts w:hint="eastAsia" w:ascii="仿宋" w:hAnsi="仿宋" w:eastAsia="仿宋" w:cs="仿宋"/>
                <w:i w:val="0"/>
                <w:iCs w:val="0"/>
                <w:color w:val="000000"/>
                <w:kern w:val="0"/>
                <w:sz w:val="24"/>
                <w:szCs w:val="24"/>
                <w:u w:val="none"/>
                <w:lang w:val="en-US" w:eastAsia="zh-CN" w:bidi="ar"/>
              </w:rPr>
              <w:t>6390</w:t>
            </w:r>
          </w:p>
        </w:tc>
        <w:tc>
          <w:tcPr>
            <w:tcW w:w="1295" w:type="dxa"/>
            <w:vAlign w:val="center"/>
          </w:tcPr>
          <w:p>
            <w:pPr>
              <w:keepNext w:val="0"/>
              <w:keepLines w:val="0"/>
              <w:widowControl/>
              <w:suppressLineNumbers w:val="0"/>
              <w:jc w:val="center"/>
              <w:textAlignment w:val="center"/>
              <w:rPr>
                <w:rFonts w:hint="eastAsia" w:ascii="仿宋" w:hAnsi="仿宋" w:eastAsia="仿宋" w:cs="仿宋"/>
                <w:spacing w:val="6"/>
                <w:sz w:val="32"/>
                <w:szCs w:val="32"/>
              </w:rPr>
            </w:pPr>
            <w:r>
              <w:rPr>
                <w:rFonts w:hint="eastAsia" w:ascii="仿宋" w:hAnsi="仿宋" w:eastAsia="仿宋" w:cs="仿宋"/>
                <w:i w:val="0"/>
                <w:iCs w:val="0"/>
                <w:color w:val="000000"/>
                <w:kern w:val="0"/>
                <w:sz w:val="24"/>
                <w:szCs w:val="24"/>
                <w:u w:val="none"/>
                <w:lang w:val="en-US" w:eastAsia="zh-CN" w:bidi="ar"/>
              </w:rPr>
              <w:t xml:space="preserve">83 </w:t>
            </w:r>
          </w:p>
        </w:tc>
        <w:tc>
          <w:tcPr>
            <w:tcW w:w="1295" w:type="dxa"/>
            <w:vAlign w:val="center"/>
          </w:tcPr>
          <w:p>
            <w:pPr>
              <w:pStyle w:val="24"/>
              <w:pageBreakBefore w:val="0"/>
              <w:kinsoku/>
              <w:wordWrap/>
              <w:overflowPunct/>
              <w:topLinePunct w:val="0"/>
              <w:bidi w:val="0"/>
              <w:snapToGrid w:val="0"/>
              <w:spacing w:line="570" w:lineRule="exact"/>
              <w:ind w:firstLine="0" w:firstLineChars="0"/>
              <w:jc w:val="center"/>
              <w:textAlignment w:val="baseline"/>
              <w:rPr>
                <w:rFonts w:hint="eastAsia" w:ascii="仿宋" w:hAnsi="仿宋" w:eastAsia="仿宋" w:cs="仿宋"/>
                <w:spacing w:val="6"/>
                <w:sz w:val="32"/>
                <w:szCs w:val="32"/>
              </w:rPr>
            </w:pPr>
          </w:p>
        </w:tc>
      </w:tr>
    </w:tbl>
    <w:p>
      <w:pPr>
        <w:pStyle w:val="24"/>
        <w:pageBreakBefore w:val="0"/>
        <w:widowControl w:val="0"/>
        <w:numPr>
          <w:ilvl w:val="0"/>
          <w:numId w:val="0"/>
        </w:numPr>
        <w:kinsoku/>
        <w:wordWrap/>
        <w:overflowPunct/>
        <w:topLinePunct w:val="0"/>
        <w:bidi w:val="0"/>
        <w:snapToGrid w:val="0"/>
        <w:spacing w:line="570" w:lineRule="exact"/>
        <w:jc w:val="both"/>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both"/>
        <w:textAlignment w:val="baseline"/>
        <w:outlineLvl w:val="0"/>
        <w:rPr>
          <w:rFonts w:hint="eastAsia" w:ascii="仿宋" w:hAnsi="仿宋" w:eastAsia="仿宋" w:cs="仿宋"/>
          <w:b/>
          <w:bCs/>
          <w:spacing w:val="6"/>
          <w:sz w:val="36"/>
          <w:szCs w:val="36"/>
          <w:lang w:eastAsia="zh-CN"/>
        </w:rPr>
      </w:pPr>
      <w:bookmarkStart w:id="37" w:name="_Toc19999"/>
      <w:r>
        <w:rPr>
          <w:rFonts w:hint="eastAsia" w:ascii="仿宋" w:hAnsi="仿宋" w:eastAsia="仿宋" w:cs="仿宋"/>
          <w:b/>
          <w:bCs/>
          <w:spacing w:val="6"/>
          <w:sz w:val="36"/>
          <w:szCs w:val="36"/>
          <w:lang w:eastAsia="zh-CN"/>
        </w:rPr>
        <w:t>务工组织</w:t>
      </w:r>
      <w:bookmarkEnd w:id="37"/>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8" w:name="_Toc27899"/>
      <w:r>
        <w:rPr>
          <w:rFonts w:hint="eastAsia" w:ascii="仿宋" w:hAnsi="仿宋" w:eastAsia="仿宋" w:cs="仿宋"/>
          <w:b/>
          <w:bCs/>
          <w:spacing w:val="6"/>
          <w:sz w:val="32"/>
          <w:szCs w:val="32"/>
          <w:lang w:eastAsia="zh-CN"/>
        </w:rPr>
        <w:t>（一）领导小组</w:t>
      </w:r>
      <w:bookmarkEnd w:id="38"/>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为了保证项目能够顺利实施，保证质量按时完成，麦盖提县交通运输局作为项目监督单位、麦盖提县农村公路养护所作为实施单位，成立了项目工作专班。领导小组成员，组长：阿不都阿克木·买买提，副组长：丁祥伟。成员：唐晓红、托合提·巴克、杨丽阳、刘云。</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专班组下设办公室，办公室主任由丁祥伟、唐晓红同志兼任，负责全面处理日常事务。</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lang w:eastAsia="zh-CN"/>
        </w:rPr>
      </w:pPr>
      <w:r>
        <w:rPr>
          <w:rFonts w:hint="eastAsia" w:ascii="仿宋" w:hAnsi="仿宋" w:eastAsia="仿宋" w:cs="仿宋"/>
          <w:spacing w:val="6"/>
          <w:kern w:val="2"/>
          <w:sz w:val="32"/>
          <w:szCs w:val="32"/>
          <w:lang w:val="en-US" w:eastAsia="zh-CN" w:bidi="ar-SA"/>
        </w:rPr>
        <w:t>专班组办公室主要职责：专班组办公室负责日常工作，确保危桥改造项目早开工、早建设、早完工，群众早受益。</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39" w:name="_Toc8016"/>
      <w:r>
        <w:rPr>
          <w:rFonts w:hint="eastAsia" w:ascii="仿宋" w:hAnsi="仿宋" w:eastAsia="仿宋" w:cs="仿宋"/>
          <w:b/>
          <w:bCs/>
          <w:spacing w:val="6"/>
          <w:sz w:val="32"/>
          <w:szCs w:val="32"/>
          <w:lang w:eastAsia="zh-CN"/>
        </w:rPr>
        <w:t>（二）工作任务</w:t>
      </w:r>
      <w:bookmarkEnd w:id="39"/>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建立与县乡村振兴局及上级交通运输部门等有关部门工作中的信息沟通和协调，配合完场各项工作。</w:t>
      </w:r>
    </w:p>
    <w:p>
      <w:pPr>
        <w:keepNext w:val="0"/>
        <w:keepLines w:val="0"/>
        <w:pageBreakBefore w:val="0"/>
        <w:widowControl w:val="0"/>
        <w:kinsoku/>
        <w:wordWrap/>
        <w:overflowPunct/>
        <w:topLinePunct w:val="0"/>
        <w:autoSpaceDE/>
        <w:autoSpaceDN/>
        <w:bidi w:val="0"/>
        <w:adjustRightInd/>
        <w:spacing w:line="570" w:lineRule="exact"/>
        <w:ind w:firstLine="48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做好项目相关信息采集、整理、上报等工作。</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kern w:val="2"/>
          <w:sz w:val="32"/>
          <w:szCs w:val="32"/>
          <w:lang w:val="en-US" w:eastAsia="zh-CN" w:bidi="ar-SA"/>
        </w:rPr>
        <w:t>负责协调解决项目实施过程中存在的具体问题。</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0" w:name="_Toc4286"/>
      <w:r>
        <w:rPr>
          <w:rFonts w:hint="eastAsia" w:ascii="仿宋" w:hAnsi="仿宋" w:eastAsia="仿宋" w:cs="仿宋"/>
          <w:b/>
          <w:bCs/>
          <w:spacing w:val="6"/>
          <w:sz w:val="32"/>
          <w:szCs w:val="32"/>
          <w:lang w:eastAsia="zh-CN"/>
        </w:rPr>
        <w:t>（三）监督管理</w:t>
      </w:r>
      <w:bookmarkEnd w:id="40"/>
    </w:p>
    <w:p>
      <w:pPr>
        <w:pStyle w:val="24"/>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县人民政府决策部署，督促落实情况。主管及实施部门为</w:t>
      </w:r>
      <w:r>
        <w:rPr>
          <w:rFonts w:hint="eastAsia" w:ascii="仿宋" w:hAnsi="仿宋" w:eastAsia="仿宋" w:cs="仿宋"/>
          <w:spacing w:val="6"/>
          <w:sz w:val="32"/>
          <w:szCs w:val="32"/>
          <w:lang w:eastAsia="zh-CN"/>
        </w:rPr>
        <w:t>麦盖提县</w:t>
      </w:r>
      <w:r>
        <w:rPr>
          <w:rFonts w:hint="eastAsia" w:ascii="仿宋" w:hAnsi="仿宋" w:eastAsia="仿宋" w:cs="仿宋"/>
          <w:spacing w:val="6"/>
          <w:sz w:val="32"/>
          <w:szCs w:val="32"/>
        </w:rPr>
        <w:t>交通运输局，负责项目全过程管理，落实县人民政府的决策部署。项目所在乡镇及村委会，积极配合项目实施工作，对项目顺利推进提供必要的支持，在项目实施阶段同时做好监督工作，确保工程保质保量。</w:t>
      </w:r>
    </w:p>
    <w:p>
      <w:pPr>
        <w:pStyle w:val="24"/>
        <w:pageBreakBefore w:val="0"/>
        <w:widowControl w:val="0"/>
        <w:numPr>
          <w:ilvl w:val="0"/>
          <w:numId w:val="0"/>
        </w:numPr>
        <w:kinsoku/>
        <w:wordWrap/>
        <w:overflowPunct/>
        <w:topLinePunct w:val="0"/>
        <w:bidi w:val="0"/>
        <w:snapToGrid w:val="0"/>
        <w:spacing w:line="570" w:lineRule="exact"/>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1" w:name="_Toc17309"/>
      <w:r>
        <w:rPr>
          <w:rFonts w:hint="eastAsia" w:ascii="仿宋" w:hAnsi="仿宋" w:eastAsia="仿宋" w:cs="仿宋"/>
          <w:b/>
          <w:bCs/>
          <w:spacing w:val="6"/>
          <w:sz w:val="36"/>
          <w:szCs w:val="36"/>
          <w:lang w:eastAsia="zh-CN"/>
        </w:rPr>
        <w:t>劳务报酬发放</w:t>
      </w:r>
      <w:bookmarkEnd w:id="41"/>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2" w:name="_Toc29754"/>
      <w:r>
        <w:rPr>
          <w:rFonts w:hint="eastAsia" w:ascii="仿宋" w:hAnsi="仿宋" w:eastAsia="仿宋" w:cs="仿宋"/>
          <w:b/>
          <w:bCs/>
          <w:spacing w:val="6"/>
          <w:sz w:val="32"/>
          <w:szCs w:val="32"/>
          <w:lang w:eastAsia="zh-CN"/>
        </w:rPr>
        <w:t>（一）劳务报酬测算</w:t>
      </w:r>
      <w:bookmarkEnd w:id="4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r>
        <w:rPr>
          <w:rFonts w:hint="eastAsia" w:ascii="仿宋" w:hAnsi="仿宋" w:eastAsia="仿宋" w:cs="仿宋"/>
          <w:color w:val="auto"/>
          <w:spacing w:val="6"/>
          <w:sz w:val="32"/>
          <w:szCs w:val="32"/>
          <w:highlight w:val="none"/>
        </w:rPr>
        <w:t>预计发放劳务报酬</w:t>
      </w:r>
      <w:r>
        <w:rPr>
          <w:rFonts w:hint="eastAsia" w:ascii="仿宋" w:hAnsi="仿宋" w:eastAsia="仿宋" w:cs="仿宋"/>
          <w:color w:val="auto"/>
          <w:spacing w:val="6"/>
          <w:sz w:val="32"/>
          <w:szCs w:val="32"/>
          <w:highlight w:val="none"/>
          <w:lang w:val="en-US" w:eastAsia="zh-CN"/>
        </w:rPr>
        <w:t>83</w:t>
      </w:r>
      <w:r>
        <w:rPr>
          <w:rFonts w:hint="eastAsia" w:ascii="仿宋" w:hAnsi="仿宋" w:eastAsia="仿宋" w:cs="仿宋"/>
          <w:color w:val="auto"/>
          <w:spacing w:val="6"/>
          <w:sz w:val="32"/>
          <w:szCs w:val="32"/>
          <w:highlight w:val="none"/>
        </w:rPr>
        <w:t>万元，占</w:t>
      </w:r>
      <w:r>
        <w:rPr>
          <w:rFonts w:hint="eastAsia" w:ascii="仿宋" w:hAnsi="仿宋" w:eastAsia="仿宋" w:cs="仿宋"/>
          <w:color w:val="auto"/>
          <w:spacing w:val="6"/>
          <w:sz w:val="32"/>
          <w:szCs w:val="32"/>
          <w:highlight w:val="none"/>
          <w:lang w:eastAsia="zh-CN"/>
        </w:rPr>
        <w:t>中央预算内资金</w:t>
      </w:r>
      <w:r>
        <w:rPr>
          <w:rFonts w:hint="eastAsia" w:ascii="仿宋" w:hAnsi="仿宋" w:eastAsia="仿宋" w:cs="仿宋"/>
          <w:color w:val="auto"/>
          <w:spacing w:val="6"/>
          <w:sz w:val="32"/>
          <w:szCs w:val="32"/>
          <w:highlight w:val="none"/>
        </w:rPr>
        <w:t>的</w:t>
      </w:r>
      <w:r>
        <w:rPr>
          <w:rFonts w:hint="eastAsia" w:ascii="仿宋" w:hAnsi="仿宋" w:eastAsia="仿宋" w:cs="仿宋"/>
          <w:color w:val="auto"/>
          <w:spacing w:val="6"/>
          <w:sz w:val="32"/>
          <w:szCs w:val="32"/>
          <w:highlight w:val="none"/>
          <w:lang w:val="en-US" w:eastAsia="zh-CN"/>
        </w:rPr>
        <w:t>20.75</w:t>
      </w:r>
      <w:r>
        <w:rPr>
          <w:rFonts w:hint="eastAsia" w:ascii="仿宋" w:hAnsi="仿宋" w:eastAsia="仿宋" w:cs="仿宋"/>
          <w:color w:val="auto"/>
          <w:spacing w:val="6"/>
          <w:sz w:val="32"/>
          <w:szCs w:val="32"/>
          <w:highlight w:val="none"/>
        </w:rPr>
        <w:t>%，其中脱贫人口劳务支出</w:t>
      </w:r>
      <w:r>
        <w:rPr>
          <w:rFonts w:hint="eastAsia" w:ascii="仿宋" w:hAnsi="仿宋" w:eastAsia="仿宋" w:cs="仿宋"/>
          <w:color w:val="auto"/>
          <w:spacing w:val="6"/>
          <w:sz w:val="32"/>
          <w:szCs w:val="32"/>
          <w:highlight w:val="none"/>
          <w:lang w:val="en-US" w:eastAsia="zh-CN"/>
        </w:rPr>
        <w:t>74</w:t>
      </w:r>
      <w:r>
        <w:rPr>
          <w:rFonts w:hint="eastAsia" w:ascii="仿宋" w:hAnsi="仿宋" w:eastAsia="仿宋" w:cs="仿宋"/>
          <w:color w:val="auto"/>
          <w:spacing w:val="6"/>
          <w:sz w:val="32"/>
          <w:szCs w:val="32"/>
          <w:highlight w:val="none"/>
        </w:rPr>
        <w:t>万元，占劳务报酬发放总额的</w:t>
      </w:r>
      <w:r>
        <w:rPr>
          <w:rFonts w:hint="eastAsia" w:ascii="仿宋" w:hAnsi="仿宋" w:eastAsia="仿宋" w:cs="仿宋"/>
          <w:color w:val="auto"/>
          <w:spacing w:val="6"/>
          <w:sz w:val="32"/>
          <w:szCs w:val="32"/>
          <w:highlight w:val="none"/>
          <w:lang w:val="en-US" w:eastAsia="zh-CN"/>
        </w:rPr>
        <w:t>92.5</w:t>
      </w:r>
      <w:r>
        <w:rPr>
          <w:rFonts w:hint="eastAsia" w:ascii="仿宋" w:hAnsi="仿宋" w:eastAsia="仿宋" w:cs="仿宋"/>
          <w:color w:val="auto"/>
          <w:spacing w:val="6"/>
          <w:sz w:val="32"/>
          <w:szCs w:val="32"/>
          <w:highlight w:val="none"/>
        </w:rPr>
        <w:t>%，易地搬迁人口劳务支出</w:t>
      </w:r>
      <w:r>
        <w:rPr>
          <w:rFonts w:hint="eastAsia" w:ascii="仿宋" w:hAnsi="仿宋" w:eastAsia="仿宋" w:cs="仿宋"/>
          <w:color w:val="auto"/>
          <w:spacing w:val="6"/>
          <w:sz w:val="32"/>
          <w:szCs w:val="32"/>
          <w:highlight w:val="none"/>
          <w:lang w:val="en-US" w:eastAsia="zh-CN"/>
        </w:rPr>
        <w:t>9</w:t>
      </w:r>
      <w:r>
        <w:rPr>
          <w:rFonts w:hint="eastAsia" w:ascii="仿宋" w:hAnsi="仿宋" w:eastAsia="仿宋" w:cs="仿宋"/>
          <w:color w:val="auto"/>
          <w:spacing w:val="6"/>
          <w:sz w:val="32"/>
          <w:szCs w:val="32"/>
          <w:highlight w:val="none"/>
        </w:rPr>
        <w:t>万元，占劳务报酬发放总额的</w:t>
      </w:r>
      <w:r>
        <w:rPr>
          <w:rFonts w:hint="eastAsia" w:ascii="仿宋" w:hAnsi="仿宋" w:eastAsia="仿宋" w:cs="仿宋"/>
          <w:color w:val="auto"/>
          <w:spacing w:val="6"/>
          <w:sz w:val="32"/>
          <w:szCs w:val="32"/>
          <w:highlight w:val="none"/>
          <w:lang w:val="en-US" w:eastAsia="zh-CN"/>
        </w:rPr>
        <w:t>7.5</w:t>
      </w:r>
      <w:r>
        <w:rPr>
          <w:rFonts w:hint="eastAsia" w:ascii="仿宋" w:hAnsi="仿宋" w:eastAsia="仿宋" w:cs="仿宋"/>
          <w:color w:val="auto"/>
          <w:spacing w:val="6"/>
          <w:sz w:val="32"/>
          <w:szCs w:val="32"/>
          <w:highlight w:val="none"/>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3" w:name="_Toc10920"/>
      <w:r>
        <w:rPr>
          <w:rFonts w:hint="eastAsia" w:ascii="仿宋" w:hAnsi="仿宋" w:eastAsia="仿宋" w:cs="仿宋"/>
          <w:b/>
          <w:bCs/>
          <w:spacing w:val="6"/>
          <w:sz w:val="32"/>
          <w:szCs w:val="32"/>
          <w:lang w:eastAsia="zh-CN"/>
        </w:rPr>
        <w:t>（二）劳务报酬发放</w:t>
      </w:r>
      <w:bookmarkEnd w:id="4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在人民政府的主导下，各村委会与项目实施单位之间建立劳务信息沟通机制，根据项目实施单位用工需求，瞄准建档立卡已脱贫人口，重点支持易地扶贫搬迁脱贫群众、脱贫不稳定户、边缘易致贫户，和其他农村低收入群体，做好务工群众的动员组织工作，鼓励组织务工群众组建一支施工队伍，为项目实施提供劳务保障，并督促项目实施单位及时足额向务工群众发放劳务报酬。</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4" w:name="_Toc698"/>
      <w:r>
        <w:rPr>
          <w:rFonts w:hint="eastAsia" w:ascii="仿宋" w:hAnsi="仿宋" w:eastAsia="仿宋" w:cs="仿宋"/>
          <w:b/>
          <w:bCs/>
          <w:spacing w:val="6"/>
          <w:sz w:val="32"/>
          <w:szCs w:val="32"/>
          <w:lang w:eastAsia="zh-CN"/>
        </w:rPr>
        <w:t>（三）带动群众务工增收预期成效</w:t>
      </w:r>
      <w:bookmarkEnd w:id="44"/>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本工程优先从本地低收入群体特别是易地扶贫搬迁群众中组织参与该工程建设。</w:t>
      </w:r>
    </w:p>
    <w:p>
      <w:pPr>
        <w:pageBreakBefore w:val="0"/>
        <w:widowControl/>
        <w:kinsoku/>
        <w:wordWrap/>
        <w:overflowPunct/>
        <w:topLinePunct w:val="0"/>
        <w:bidi w:val="0"/>
        <w:spacing w:line="570" w:lineRule="exact"/>
        <w:ind w:firstLine="664" w:firstLineChars="200"/>
        <w:jc w:val="left"/>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项目建设总投资</w:t>
      </w:r>
      <w:r>
        <w:rPr>
          <w:rFonts w:hint="eastAsia" w:ascii="仿宋" w:hAnsi="仿宋" w:eastAsia="仿宋" w:cs="仿宋"/>
          <w:spacing w:val="6"/>
          <w:sz w:val="32"/>
          <w:szCs w:val="32"/>
          <w:lang w:val="en-US" w:eastAsia="zh-CN"/>
        </w:rPr>
        <w:t>400</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预计</w:t>
      </w:r>
      <w:r>
        <w:rPr>
          <w:rFonts w:hint="eastAsia" w:ascii="仿宋" w:hAnsi="仿宋" w:eastAsia="仿宋" w:cs="仿宋"/>
          <w:spacing w:val="6"/>
          <w:sz w:val="32"/>
          <w:szCs w:val="32"/>
        </w:rPr>
        <w:t>劳务报酬发放共计</w:t>
      </w:r>
      <w:r>
        <w:rPr>
          <w:rFonts w:hint="eastAsia" w:ascii="仿宋" w:hAnsi="仿宋" w:eastAsia="仿宋" w:cs="仿宋"/>
          <w:spacing w:val="6"/>
          <w:sz w:val="32"/>
          <w:szCs w:val="32"/>
          <w:lang w:val="en-US" w:eastAsia="zh-CN"/>
        </w:rPr>
        <w:t>83</w:t>
      </w:r>
      <w:r>
        <w:rPr>
          <w:rFonts w:hint="eastAsia" w:ascii="仿宋" w:hAnsi="仿宋" w:eastAsia="仿宋" w:cs="仿宋"/>
          <w:spacing w:val="6"/>
          <w:sz w:val="32"/>
          <w:szCs w:val="32"/>
        </w:rPr>
        <w:t>万元，</w:t>
      </w:r>
      <w:r>
        <w:rPr>
          <w:rFonts w:hint="eastAsia" w:ascii="仿宋" w:hAnsi="仿宋" w:eastAsia="仿宋" w:cs="仿宋"/>
          <w:spacing w:val="6"/>
          <w:sz w:val="32"/>
          <w:szCs w:val="32"/>
          <w:lang w:eastAsia="zh-CN"/>
        </w:rPr>
        <w:t>人均增收</w:t>
      </w:r>
      <w:r>
        <w:rPr>
          <w:rFonts w:hint="eastAsia" w:ascii="仿宋" w:hAnsi="仿宋" w:eastAsia="仿宋" w:cs="仿宋"/>
          <w:spacing w:val="6"/>
          <w:sz w:val="32"/>
          <w:szCs w:val="32"/>
          <w:lang w:val="en-US" w:eastAsia="zh-CN"/>
        </w:rPr>
        <w:t>1.4万元。</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5" w:name="_Toc19430"/>
      <w:r>
        <w:rPr>
          <w:rFonts w:hint="eastAsia" w:ascii="仿宋" w:hAnsi="仿宋" w:eastAsia="仿宋" w:cs="仿宋"/>
          <w:b/>
          <w:bCs/>
          <w:spacing w:val="6"/>
          <w:sz w:val="32"/>
          <w:szCs w:val="32"/>
          <w:lang w:eastAsia="zh-CN"/>
        </w:rPr>
        <w:t>（四）劳务报酬发放监督管理</w:t>
      </w:r>
      <w:bookmarkEnd w:id="4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项目实施后，建设单位提取项目工程费用占比</w:t>
      </w:r>
      <w:r>
        <w:rPr>
          <w:rFonts w:hint="eastAsia" w:ascii="仿宋" w:hAnsi="仿宋" w:eastAsia="仿宋" w:cs="仿宋"/>
          <w:spacing w:val="6"/>
          <w:sz w:val="32"/>
          <w:szCs w:val="32"/>
          <w:lang w:val="en-US" w:eastAsia="zh-CN"/>
        </w:rPr>
        <w:t>20</w:t>
      </w:r>
      <w:r>
        <w:rPr>
          <w:rFonts w:hint="eastAsia" w:ascii="仿宋" w:hAnsi="仿宋" w:eastAsia="仿宋" w:cs="仿宋"/>
          <w:spacing w:val="6"/>
          <w:sz w:val="32"/>
          <w:szCs w:val="32"/>
        </w:rPr>
        <w:t>%的农名工劳务报酬依法按程序存入银行账户进行监管，并设立务工人员工资专卡，依法依规使用。施工方根据项目建设进度按月编制务工工资表，经业主和发改主管部门相关负责人签字确认后，方可由代发银行统一发放至务工人员工资专卡。在项目期间，劳务报酬的发放工作应当做到公开、足额、及时，严禁克扣和拖欠。</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6" w:name="_Toc29163"/>
      <w:r>
        <w:rPr>
          <w:rFonts w:hint="eastAsia" w:ascii="仿宋" w:hAnsi="仿宋" w:eastAsia="仿宋" w:cs="仿宋"/>
          <w:b/>
          <w:bCs/>
          <w:spacing w:val="6"/>
          <w:sz w:val="36"/>
          <w:szCs w:val="36"/>
          <w:lang w:eastAsia="zh-CN"/>
        </w:rPr>
        <w:t>劳动技能培训</w:t>
      </w:r>
      <w:bookmarkEnd w:id="46"/>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7" w:name="_Toc23083"/>
      <w:r>
        <w:rPr>
          <w:rFonts w:hint="eastAsia" w:ascii="仿宋" w:hAnsi="仿宋" w:eastAsia="仿宋" w:cs="仿宋"/>
          <w:b/>
          <w:bCs/>
          <w:spacing w:val="6"/>
          <w:sz w:val="32"/>
          <w:szCs w:val="32"/>
          <w:lang w:eastAsia="zh-CN"/>
        </w:rPr>
        <w:t>（一）技能培训对象和内容</w:t>
      </w:r>
      <w:bookmarkEnd w:id="47"/>
    </w:p>
    <w:p>
      <w:pPr>
        <w:pStyle w:val="24"/>
        <w:pageBreakBefore w:val="0"/>
        <w:numPr>
          <w:ilvl w:val="0"/>
          <w:numId w:val="0"/>
        </w:numPr>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rPr>
        <w:t>在建设期开展以工代赈等技能培训，对参与示范项目建设的务工人员以及易地搬迁群众提供就业岗位培训备注</w:t>
      </w:r>
      <w:r>
        <w:rPr>
          <w:rFonts w:hint="eastAsia" w:ascii="仿宋" w:hAnsi="仿宋" w:eastAsia="仿宋" w:cs="仿宋"/>
          <w:spacing w:val="6"/>
          <w:sz w:val="32"/>
          <w:szCs w:val="32"/>
          <w:lang w:eastAsia="zh-CN"/>
        </w:rPr>
        <w:t>。</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48" w:name="_Toc13744"/>
      <w:r>
        <w:rPr>
          <w:rFonts w:hint="eastAsia" w:ascii="仿宋" w:hAnsi="仿宋" w:eastAsia="仿宋" w:cs="仿宋"/>
          <w:b/>
          <w:bCs/>
          <w:spacing w:val="6"/>
          <w:sz w:val="32"/>
          <w:szCs w:val="32"/>
          <w:lang w:eastAsia="zh-CN"/>
        </w:rPr>
        <w:t>（二）培训方式</w:t>
      </w:r>
      <w:bookmarkEnd w:id="48"/>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主要培训方式采用在工程施工过程中进行现场操作培训，培训内容包括</w:t>
      </w:r>
      <w:r>
        <w:rPr>
          <w:rFonts w:hint="eastAsia" w:ascii="仿宋" w:hAnsi="仿宋" w:eastAsia="仿宋" w:cs="仿宋"/>
          <w:spacing w:val="6"/>
          <w:sz w:val="32"/>
          <w:szCs w:val="32"/>
          <w:lang w:eastAsia="zh-CN"/>
        </w:rPr>
        <w:t>普通话及道路</w:t>
      </w:r>
      <w:r>
        <w:rPr>
          <w:rFonts w:hint="eastAsia" w:ascii="仿宋" w:hAnsi="仿宋" w:eastAsia="仿宋" w:cs="仿宋"/>
          <w:spacing w:val="6"/>
          <w:sz w:val="32"/>
          <w:szCs w:val="32"/>
        </w:rPr>
        <w:t>施工技术，力争培训一人，就业一人。</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49" w:name="_Toc15559"/>
      <w:r>
        <w:rPr>
          <w:rFonts w:hint="eastAsia" w:ascii="仿宋" w:hAnsi="仿宋" w:eastAsia="仿宋" w:cs="仿宋"/>
          <w:b/>
          <w:bCs/>
          <w:spacing w:val="6"/>
          <w:sz w:val="36"/>
          <w:szCs w:val="36"/>
          <w:lang w:eastAsia="zh-CN"/>
        </w:rPr>
        <w:t>赈济模式</w:t>
      </w:r>
      <w:bookmarkEnd w:id="4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本项目以“农村公益性基础设施建设+劳务报酬发放+就业技能培训+公益性岗位设置”综合示范模式实施。</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0" w:name="_Toc5948"/>
      <w:r>
        <w:rPr>
          <w:rFonts w:hint="eastAsia" w:ascii="仿宋" w:hAnsi="仿宋" w:eastAsia="仿宋" w:cs="仿宋"/>
          <w:b/>
          <w:bCs/>
          <w:spacing w:val="6"/>
          <w:sz w:val="36"/>
          <w:szCs w:val="36"/>
          <w:lang w:eastAsia="zh-CN"/>
        </w:rPr>
        <w:t>项目影响效果分析</w:t>
      </w:r>
      <w:bookmarkEnd w:id="50"/>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区域群众需用生产资料和农副产品的及时调运以免耽误农时影响生产。对期熟农产品、果品外运外销起到保时保质运输，避免不必要的经济损失。道路通达后可减轻群众劳动强度，处理供需矛盾，解决行路运输难等问题，为今后群众生产致富将提供更大帮助。</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切实改变项目区群众出行难，明显改善项目区的交通运输状况。</w:t>
      </w:r>
    </w:p>
    <w:p>
      <w:pPr>
        <w:pageBreakBefore w:val="0"/>
        <w:kinsoku/>
        <w:wordWrap/>
        <w:overflowPunct/>
        <w:topLinePunct w:val="0"/>
        <w:bidi w:val="0"/>
        <w:snapToGrid w:val="0"/>
        <w:spacing w:line="570" w:lineRule="exact"/>
        <w:ind w:firstLine="664" w:firstLineChars="200"/>
        <w:textAlignment w:val="baseline"/>
        <w:rPr>
          <w:rFonts w:hint="eastAsia" w:ascii="仿宋" w:hAnsi="仿宋" w:eastAsia="仿宋" w:cs="仿宋"/>
          <w:b/>
          <w:bCs/>
          <w:spacing w:val="6"/>
          <w:sz w:val="36"/>
          <w:szCs w:val="36"/>
          <w:lang w:eastAsia="zh-CN"/>
        </w:rPr>
      </w:pPr>
      <w:r>
        <w:rPr>
          <w:rFonts w:hint="eastAsia" w:ascii="仿宋" w:hAnsi="仿宋" w:eastAsia="仿宋" w:cs="仿宋"/>
          <w:spacing w:val="6"/>
          <w:sz w:val="32"/>
          <w:szCs w:val="32"/>
        </w:rPr>
        <w:t>劳务报酬发放标准和总额：应发放劳务报酬总额占中央资金比例不得低于</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0%，尽可能提高劳务报酬发放比例。</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1" w:name="_Toc17055"/>
      <w:r>
        <w:rPr>
          <w:rFonts w:hint="eastAsia" w:ascii="仿宋" w:hAnsi="仿宋" w:eastAsia="仿宋" w:cs="仿宋"/>
          <w:b/>
          <w:bCs/>
          <w:spacing w:val="6"/>
          <w:sz w:val="32"/>
          <w:szCs w:val="32"/>
          <w:lang w:eastAsia="zh-CN"/>
        </w:rPr>
        <w:t>（一）经济影响</w:t>
      </w:r>
      <w:bookmarkEnd w:id="51"/>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项目建成后，可保障沿线群众需用生产资料和农副产品的及时调运以免耽误农时影响生产。对期熟农产品、果品外运外销起到保时保质运输，避免不必要的经济损失。道路通达</w:t>
      </w:r>
      <w:r>
        <w:rPr>
          <w:rFonts w:hint="eastAsia" w:ascii="仿宋" w:hAnsi="仿宋" w:eastAsia="仿宋" w:cs="仿宋"/>
          <w:spacing w:val="6"/>
          <w:sz w:val="32"/>
          <w:szCs w:val="32"/>
          <w:highlight w:val="none"/>
        </w:rPr>
        <w:t>后可减轻群众劳动强度，处理供需矛盾，解决行路运输难等问题，受益群众</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val="en-US" w:eastAsia="zh-CN"/>
        </w:rPr>
        <w:t>100</w:t>
      </w:r>
      <w:r>
        <w:rPr>
          <w:rFonts w:hint="eastAsia" w:ascii="仿宋" w:hAnsi="仿宋" w:eastAsia="仿宋" w:cs="仿宋"/>
          <w:spacing w:val="6"/>
          <w:sz w:val="32"/>
          <w:szCs w:val="32"/>
          <w:highlight w:val="none"/>
        </w:rPr>
        <w:t>人，</w:t>
      </w:r>
      <w:r>
        <w:rPr>
          <w:rFonts w:hint="eastAsia" w:ascii="仿宋" w:hAnsi="仿宋" w:eastAsia="仿宋" w:cs="仿宋"/>
          <w:spacing w:val="6"/>
          <w:sz w:val="32"/>
          <w:szCs w:val="32"/>
        </w:rPr>
        <w:t>为今后群众生产致富将提供更大帮助。</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2" w:name="_Toc12894"/>
      <w:r>
        <w:rPr>
          <w:rFonts w:hint="eastAsia" w:ascii="仿宋" w:hAnsi="仿宋" w:eastAsia="仿宋" w:cs="仿宋"/>
          <w:b/>
          <w:bCs/>
          <w:spacing w:val="6"/>
          <w:sz w:val="32"/>
          <w:szCs w:val="32"/>
          <w:lang w:eastAsia="zh-CN"/>
        </w:rPr>
        <w:t>（二）社会影响分析</w:t>
      </w:r>
      <w:bookmarkEnd w:id="5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交通的改善，树立了代赈扶持基层、服务基层群众的威信度，解决了行路难等问题。增强了干群关系，体现了党和国家对人民群众的关心和照顾。在重效节能方面也能提高效力减少开支，更能促进沿线区域内农副产品，减少支出成本，节约支出能源，使群众的生产生活环境得到根本改善，保障群众生活安逸、生产稳定。</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3" w:name="_Toc26329"/>
      <w:r>
        <w:rPr>
          <w:rFonts w:hint="eastAsia" w:ascii="仿宋" w:hAnsi="仿宋" w:eastAsia="仿宋" w:cs="仿宋"/>
          <w:b/>
          <w:bCs/>
          <w:spacing w:val="6"/>
          <w:sz w:val="32"/>
          <w:szCs w:val="32"/>
          <w:lang w:eastAsia="zh-CN"/>
        </w:rPr>
        <w:t>（三）生态环境影响分析</w:t>
      </w:r>
      <w:bookmarkEnd w:id="53"/>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项目的建成为该区域提供了良好的交通运输条件，促进了沿线区域的农业资源开发，刺激产业开发，为沿线经济发展提供良好服务，从而带动沿线经济发展。有利于沿线土地资源进一步利用与开发，带动旅游业和第三产业的发展，从而提高居民生活水平。但公路建设不可避免会对区域内的社会自然环境，群众的生产、生活产生影响。</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·公路施工期，因拉料和倒料产生扬尘，对道路两边居民生活带来一定影响，施工时必须去尘，对环境的影响降至最低。</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·公路运营时期，汽车噪声和排放的尾气会对沿线环境造成污染。</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为缓解工程对环境影响的，公路建设项目的环境保护应严格遵守“三同时”（同时设计，同时施工，同时竣工），将环境保护贯彻建设项目始终。为此本项目应在设计及施工过程中注意掌握以下原则，以达到保护和改善公路沿线生活环境与生态环境的目的，并将公路建设对沿线自然和社会环境所带来的不利影响降至最低程度。</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4" w:name="_Toc31765"/>
      <w:r>
        <w:rPr>
          <w:rFonts w:hint="eastAsia" w:ascii="仿宋" w:hAnsi="仿宋" w:eastAsia="仿宋" w:cs="仿宋"/>
          <w:b/>
          <w:bCs/>
          <w:spacing w:val="6"/>
          <w:sz w:val="36"/>
          <w:szCs w:val="36"/>
          <w:lang w:eastAsia="zh-CN"/>
        </w:rPr>
        <w:t>项目风险管控方案</w:t>
      </w:r>
      <w:bookmarkEnd w:id="54"/>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val="0"/>
          <w:bCs w:val="0"/>
          <w:spacing w:val="6"/>
          <w:sz w:val="32"/>
          <w:szCs w:val="32"/>
          <w:lang w:eastAsia="zh-CN"/>
        </w:rPr>
      </w:pPr>
      <w:bookmarkStart w:id="55" w:name="_Toc11429"/>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lang w:eastAsia="zh-CN"/>
        </w:rPr>
        <w:t>风险识别与评价</w:t>
      </w:r>
      <w:bookmarkEnd w:id="55"/>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项目风险识别与分析贯穿于项目建设和生产运营的全过程。拟投资项目投资分析应着重识别以下风险：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w:t>
      </w:r>
      <w:r>
        <w:rPr>
          <w:rFonts w:hint="eastAsia" w:ascii="仿宋" w:hAnsi="仿宋" w:eastAsia="仿宋" w:cs="仿宋"/>
          <w:b w:val="0"/>
          <w:bCs w:val="0"/>
          <w:spacing w:val="6"/>
          <w:sz w:val="32"/>
          <w:szCs w:val="32"/>
        </w:rPr>
        <w:t>组织机构风险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组织机构方面的风险主要指项目组织设置方案不适于拟建项目的建设或营运，项目法人代表，企业管理层不能胜任项目的组织与管理，影响项目的实施。</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2）</w:t>
      </w:r>
      <w:r>
        <w:rPr>
          <w:rFonts w:hint="eastAsia" w:ascii="仿宋" w:hAnsi="仿宋" w:eastAsia="仿宋" w:cs="仿宋"/>
          <w:b w:val="0"/>
          <w:bCs w:val="0"/>
          <w:spacing w:val="6"/>
          <w:sz w:val="32"/>
          <w:szCs w:val="32"/>
        </w:rPr>
        <w:t>施工技术风险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项目技术方面的风险主要指项目采用技术（包括引进技术）的先进性、可靠性、适用性和可得性与预测方案发生重大变化，可能给项目带来的风险。拟建项目涉及到桥梁工程结构较为复杂，技术含量相对较高，施工阶段存在技术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工程风险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拟建项目工程风险主要包括，由于路线方案、工程地质条件、水文地质条件与预测发生重大变化，导致工程量增加、投资增加、工期拖长给拟建项目带来的风险。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4）</w:t>
      </w:r>
      <w:r>
        <w:rPr>
          <w:rFonts w:hint="eastAsia" w:ascii="仿宋" w:hAnsi="仿宋" w:eastAsia="仿宋" w:cs="仿宋"/>
          <w:b w:val="0"/>
          <w:bCs w:val="0"/>
          <w:spacing w:val="6"/>
          <w:sz w:val="32"/>
          <w:szCs w:val="32"/>
        </w:rPr>
        <w:t>投资估算风险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各种费率的提高，从而增大投资，形成一定的投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5）</w:t>
      </w:r>
      <w:r>
        <w:rPr>
          <w:rFonts w:hint="eastAsia" w:ascii="仿宋" w:hAnsi="仿宋" w:eastAsia="仿宋" w:cs="仿宋"/>
          <w:b w:val="0"/>
          <w:bCs w:val="0"/>
          <w:spacing w:val="6"/>
          <w:sz w:val="32"/>
          <w:szCs w:val="32"/>
        </w:rPr>
        <w:t>资金风险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拟建项目为以工代赈项目，资金风险小。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6）</w:t>
      </w:r>
      <w:r>
        <w:rPr>
          <w:rFonts w:hint="eastAsia" w:ascii="仿宋" w:hAnsi="仿宋" w:eastAsia="仿宋" w:cs="仿宋"/>
          <w:b w:val="0"/>
          <w:bCs w:val="0"/>
          <w:spacing w:val="6"/>
          <w:sz w:val="32"/>
          <w:szCs w:val="32"/>
        </w:rPr>
        <w:t>环境影响风险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7）</w:t>
      </w:r>
      <w:r>
        <w:rPr>
          <w:rFonts w:hint="eastAsia" w:ascii="仿宋" w:hAnsi="仿宋" w:eastAsia="仿宋" w:cs="仿宋"/>
          <w:b w:val="0"/>
          <w:bCs w:val="0"/>
          <w:spacing w:val="6"/>
          <w:sz w:val="32"/>
          <w:szCs w:val="32"/>
        </w:rPr>
        <w:t>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8）</w:t>
      </w:r>
      <w:r>
        <w:rPr>
          <w:rFonts w:hint="eastAsia" w:ascii="仿宋" w:hAnsi="仿宋" w:eastAsia="仿宋" w:cs="仿宋"/>
          <w:b w:val="0"/>
          <w:bCs w:val="0"/>
          <w:spacing w:val="6"/>
          <w:sz w:val="32"/>
          <w:szCs w:val="32"/>
        </w:rPr>
        <w:t>政策风险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政策风险主要来自两个方面：一是指国家政策影响区域经济的发展，从而影响运输需求；二是国家由于某种政治或经济政策上的原因，对目前公路项目建设、运营、管理等方面政策法规的变化。</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9）</w:t>
      </w:r>
      <w:r>
        <w:rPr>
          <w:rFonts w:hint="eastAsia" w:ascii="仿宋" w:hAnsi="仿宋" w:eastAsia="仿宋" w:cs="仿宋"/>
          <w:b w:val="0"/>
          <w:bCs w:val="0"/>
          <w:spacing w:val="6"/>
          <w:sz w:val="32"/>
          <w:szCs w:val="32"/>
        </w:rPr>
        <w:t>社会影响风险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社会影响风险指预测的社会条件、社会环境发生变化，给项目建设和运营带来损失。</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10）</w:t>
      </w:r>
      <w:r>
        <w:rPr>
          <w:rFonts w:hint="eastAsia" w:ascii="仿宋" w:hAnsi="仿宋" w:eastAsia="仿宋" w:cs="仿宋"/>
          <w:b w:val="0"/>
          <w:bCs w:val="0"/>
          <w:spacing w:val="6"/>
          <w:sz w:val="32"/>
          <w:szCs w:val="32"/>
        </w:rPr>
        <w:t>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不可抗力风险通常分为两类：</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①因自然因素导致的不可抗力风险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由于不能合理预见的自然灾害（如地震、洪水、台风等）、病疫等事件导致本项目失败或收益大幅度减少的风险。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②因非自然因素导致的不可抗力风险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由于不可合理预见的战争、暴乱、罢工等事件发生导致本项目失败或收益大幅减少的风险。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11）</w:t>
      </w:r>
      <w:r>
        <w:rPr>
          <w:rFonts w:hint="eastAsia" w:ascii="仿宋" w:hAnsi="仿宋" w:eastAsia="仿宋" w:cs="仿宋"/>
          <w:b w:val="0"/>
          <w:bCs w:val="0"/>
          <w:spacing w:val="6"/>
          <w:sz w:val="32"/>
          <w:szCs w:val="32"/>
        </w:rPr>
        <w:t>财务风险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rPr>
        <w:t>拟建</w:t>
      </w:r>
      <w:r>
        <w:rPr>
          <w:rFonts w:hint="eastAsia" w:ascii="仿宋" w:hAnsi="仿宋" w:eastAsia="仿宋" w:cs="仿宋"/>
          <w:b w:val="0"/>
          <w:bCs w:val="0"/>
          <w:spacing w:val="6"/>
          <w:sz w:val="32"/>
          <w:szCs w:val="32"/>
          <w:lang w:eastAsia="zh-CN"/>
        </w:rPr>
        <w:t>桥梁</w:t>
      </w:r>
      <w:r>
        <w:rPr>
          <w:rFonts w:hint="eastAsia" w:ascii="仿宋" w:hAnsi="仿宋" w:eastAsia="仿宋" w:cs="仿宋"/>
          <w:b w:val="0"/>
          <w:bCs w:val="0"/>
          <w:spacing w:val="6"/>
          <w:sz w:val="32"/>
          <w:szCs w:val="32"/>
        </w:rPr>
        <w:t>投资较大、交通量有限，在项目计算期内从国民经济评价分析来看，项目是可行的。从财务评价方面分析，本项目财务风险较小。</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val="0"/>
          <w:bCs w:val="0"/>
          <w:spacing w:val="6"/>
          <w:sz w:val="32"/>
          <w:szCs w:val="32"/>
        </w:rPr>
      </w:pPr>
      <w:r>
        <w:rPr>
          <w:rFonts w:hint="eastAsia" w:ascii="仿宋" w:hAnsi="仿宋" w:eastAsia="仿宋" w:cs="仿宋"/>
          <w:b w:val="0"/>
          <w:bCs w:val="0"/>
          <w:spacing w:val="6"/>
          <w:sz w:val="32"/>
          <w:szCs w:val="32"/>
          <w:lang w:val="en-US" w:eastAsia="zh-CN"/>
        </w:rPr>
        <w:t>12）</w:t>
      </w:r>
      <w:r>
        <w:rPr>
          <w:rFonts w:hint="eastAsia" w:ascii="仿宋" w:hAnsi="仿宋" w:eastAsia="仿宋" w:cs="仿宋"/>
          <w:b w:val="0"/>
          <w:bCs w:val="0"/>
          <w:spacing w:val="6"/>
          <w:sz w:val="32"/>
          <w:szCs w:val="32"/>
        </w:rPr>
        <w:t>其它风险</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b w:val="0"/>
          <w:bCs w:val="0"/>
          <w:spacing w:val="6"/>
          <w:sz w:val="32"/>
          <w:szCs w:val="32"/>
        </w:rPr>
        <w:t>上述风险分析中未考虑到的风险。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（二）风险管控方案</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24"/>
        <w:pageBreakBefore w:val="0"/>
        <w:numPr>
          <w:ilvl w:val="0"/>
          <w:numId w:val="0"/>
        </w:numPr>
        <w:kinsoku/>
        <w:wordWrap/>
        <w:overflowPunct/>
        <w:topLinePunct w:val="0"/>
        <w:bidi w:val="0"/>
        <w:snapToGrid w:val="0"/>
        <w:spacing w:line="570" w:lineRule="exact"/>
        <w:textAlignment w:val="baseline"/>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（三）风险应急预案</w:t>
      </w:r>
    </w:p>
    <w:p>
      <w:pPr>
        <w:pStyle w:val="24"/>
        <w:pageBreakBefore w:val="0"/>
        <w:kinsoku/>
        <w:wordWrap/>
        <w:overflowPunct/>
        <w:topLinePunct w:val="0"/>
        <w:bidi w:val="0"/>
        <w:snapToGrid w:val="0"/>
        <w:spacing w:line="570" w:lineRule="exact"/>
        <w:ind w:firstLine="664"/>
        <w:textAlignment w:val="baseline"/>
        <w:outlineLvl w:val="1"/>
        <w:rPr>
          <w:rFonts w:hint="eastAsia" w:ascii="仿宋" w:hAnsi="仿宋" w:eastAsia="仿宋" w:cs="仿宋"/>
          <w:spacing w:val="6"/>
          <w:sz w:val="32"/>
          <w:szCs w:val="32"/>
          <w:lang w:eastAsia="zh-CN"/>
        </w:rPr>
      </w:pPr>
      <w:bookmarkStart w:id="56" w:name="_Toc31308"/>
      <w:r>
        <w:rPr>
          <w:rFonts w:hint="eastAsia" w:ascii="仿宋" w:hAnsi="仿宋" w:eastAsia="仿宋" w:cs="仿宋"/>
          <w:spacing w:val="6"/>
          <w:sz w:val="32"/>
          <w:szCs w:val="32"/>
          <w:lang w:eastAsia="zh-CN"/>
        </w:rPr>
        <w:t>1项目风险预测与防范</w:t>
      </w:r>
      <w:bookmarkEnd w:id="56"/>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根据本合同工程特点，判定本项目施工风险，施工中按</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照设计及规范的要求，制定专项技术和安全方案，严格遵守质量管理体系和安全管理体系。</w:t>
      </w:r>
    </w:p>
    <w:p>
      <w:pPr>
        <w:pStyle w:val="24"/>
        <w:pageBreakBefore w:val="0"/>
        <w:kinsoku/>
        <w:wordWrap/>
        <w:overflowPunct/>
        <w:topLinePunct w:val="0"/>
        <w:bidi w:val="0"/>
        <w:snapToGrid w:val="0"/>
        <w:spacing w:line="570" w:lineRule="exact"/>
        <w:ind w:firstLine="664"/>
        <w:textAlignment w:val="baseline"/>
        <w:outlineLvl w:val="1"/>
        <w:rPr>
          <w:rFonts w:hint="eastAsia" w:ascii="仿宋" w:hAnsi="仿宋" w:eastAsia="仿宋" w:cs="仿宋"/>
          <w:spacing w:val="6"/>
          <w:sz w:val="32"/>
          <w:szCs w:val="32"/>
          <w:lang w:eastAsia="zh-CN"/>
        </w:rPr>
      </w:pPr>
      <w:bookmarkStart w:id="57" w:name="_Toc19972"/>
      <w:r>
        <w:rPr>
          <w:rFonts w:hint="eastAsia" w:ascii="仿宋" w:hAnsi="仿宋" w:eastAsia="仿宋" w:cs="仿宋"/>
          <w:spacing w:val="6"/>
          <w:sz w:val="32"/>
          <w:szCs w:val="32"/>
          <w:lang w:eastAsia="zh-CN"/>
        </w:rPr>
        <w:t>2事故应急预案措施</w:t>
      </w:r>
      <w:bookmarkEnd w:id="57"/>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成立应急事故领导小组，组建高效运转的应急事故领导</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机构。</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有针对性地制订应急预案，进行应急事故演练。</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做好对技术负责人、专职安全员和操作工人的安全施工</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技术交底和安全生产教育工作，确保施工安全。</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应急事故发生时，应急预案立即启动，各级人员做好现</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场处理措施，并根据应急预案逐级上报相关部门，各部门快</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速反应，及时到达现场，根据实际情况制定救援措施，做好</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各方面协调指挥工作。</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事后有关部门进行事故调查，分析原因，做好记录，并</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上报备案。</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58" w:name="_Toc19657"/>
      <w:r>
        <w:rPr>
          <w:rFonts w:hint="eastAsia" w:ascii="仿宋" w:hAnsi="仿宋" w:eastAsia="仿宋" w:cs="仿宋"/>
          <w:b/>
          <w:bCs/>
          <w:spacing w:val="6"/>
          <w:sz w:val="36"/>
          <w:szCs w:val="36"/>
          <w:lang w:eastAsia="zh-CN"/>
        </w:rPr>
        <w:t>保障措施</w:t>
      </w:r>
      <w:bookmarkEnd w:id="58"/>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59" w:name="_Toc4829"/>
      <w:r>
        <w:rPr>
          <w:rFonts w:hint="eastAsia" w:ascii="仿宋" w:hAnsi="仿宋" w:eastAsia="仿宋" w:cs="仿宋"/>
          <w:b/>
          <w:bCs/>
          <w:spacing w:val="6"/>
          <w:sz w:val="32"/>
          <w:szCs w:val="32"/>
          <w:lang w:eastAsia="zh-CN"/>
        </w:rPr>
        <w:t>（一）组织保障</w:t>
      </w:r>
      <w:bookmarkEnd w:id="59"/>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公路施工前，应根据建设规模及技术标准、工程方案建</w:t>
      </w:r>
    </w:p>
    <w:p>
      <w:pPr>
        <w:pStyle w:val="24"/>
        <w:pageBreakBefore w:val="0"/>
        <w:kinsoku/>
        <w:wordWrap/>
        <w:overflowPunct/>
        <w:topLinePunct w:val="0"/>
        <w:bidi w:val="0"/>
        <w:snapToGrid w:val="0"/>
        <w:spacing w:line="570" w:lineRule="exact"/>
        <w:ind w:left="0" w:leftChars="0" w:firstLine="0" w:firstLineChars="0"/>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立健全施工组织管理机构，制定施工管理制度，明确分工，落实责任。提出合理的建设工期和实施进度方案，形成完整有效的工程质量保证体系，科学组织建设过程中各阶段的工作，按工程实施进度安排建设资金，为项目建设和生产运营顺利进行提供有力保障。</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0" w:name="_Toc10466"/>
      <w:r>
        <w:rPr>
          <w:rFonts w:hint="eastAsia" w:ascii="仿宋" w:hAnsi="仿宋" w:eastAsia="仿宋" w:cs="仿宋"/>
          <w:b/>
          <w:bCs/>
          <w:spacing w:val="6"/>
          <w:sz w:val="32"/>
          <w:szCs w:val="32"/>
          <w:lang w:eastAsia="zh-CN"/>
        </w:rPr>
        <w:t>（二）工作保障</w:t>
      </w:r>
      <w:bookmarkEnd w:id="60"/>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根据“政府监督、社会监理、企业自检”的原则和层层负责的质量责任制，项目法人代表代表建设单位对工程质量负总责。勘察设计单位必须按资质等级要求承担相应的勘察设计任务，按照国家现行的有关规定、技术标准和合同进行勘察设计，加强设计过程中的质量控制，健全设计文件的审核会签制度。施工单位要接受质监对其资质和质保体系的监督检查，要严格按照设计图纸和技术标准、规范进行施工，</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lang w:eastAsia="zh-CN"/>
        </w:rPr>
        <w:t>并对施工的质量负责。工程监理人员要严格执行工程监理有关规定和要求，开展施工过程中的“三控制、二管理、一协调”工作，并坚持事前、事中、事后的工程质量控制程序，确保整个工程按上级要求顺利完成。</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2"/>
        </w:numPr>
        <w:kinsoku/>
        <w:wordWrap/>
        <w:overflowPunct/>
        <w:topLinePunct w:val="0"/>
        <w:bidi w:val="0"/>
        <w:snapToGrid w:val="0"/>
        <w:spacing w:line="570" w:lineRule="exact"/>
        <w:ind w:left="-420" w:leftChars="0" w:firstLine="420" w:firstLineChars="0"/>
        <w:jc w:val="left"/>
        <w:textAlignment w:val="baseline"/>
        <w:outlineLvl w:val="0"/>
        <w:rPr>
          <w:rFonts w:hint="eastAsia" w:ascii="仿宋" w:hAnsi="仿宋" w:eastAsia="仿宋" w:cs="仿宋"/>
          <w:b/>
          <w:bCs/>
          <w:spacing w:val="6"/>
          <w:sz w:val="36"/>
          <w:szCs w:val="36"/>
          <w:lang w:eastAsia="zh-CN"/>
        </w:rPr>
      </w:pPr>
      <w:bookmarkStart w:id="61" w:name="_Toc24513"/>
      <w:r>
        <w:rPr>
          <w:rFonts w:hint="eastAsia" w:ascii="仿宋" w:hAnsi="仿宋" w:eastAsia="仿宋" w:cs="仿宋"/>
          <w:b/>
          <w:bCs/>
          <w:spacing w:val="6"/>
          <w:sz w:val="36"/>
          <w:szCs w:val="36"/>
          <w:lang w:eastAsia="zh-CN"/>
        </w:rPr>
        <w:t>研究结论及建议</w:t>
      </w:r>
      <w:bookmarkEnd w:id="61"/>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2" w:name="_Toc31563"/>
      <w:r>
        <w:rPr>
          <w:rFonts w:hint="eastAsia" w:ascii="仿宋" w:hAnsi="仿宋" w:eastAsia="仿宋" w:cs="仿宋"/>
          <w:b/>
          <w:bCs/>
          <w:spacing w:val="6"/>
          <w:sz w:val="32"/>
          <w:szCs w:val="32"/>
          <w:lang w:eastAsia="zh-CN"/>
        </w:rPr>
        <w:t>（一）主要研究结论</w:t>
      </w:r>
      <w:bookmarkEnd w:id="62"/>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本项目</w:t>
      </w:r>
      <w:r>
        <w:rPr>
          <w:rFonts w:hint="eastAsia" w:ascii="仿宋" w:hAnsi="仿宋" w:eastAsia="仿宋" w:cs="仿宋"/>
          <w:spacing w:val="6"/>
          <w:sz w:val="32"/>
          <w:szCs w:val="32"/>
        </w:rPr>
        <w:t>是落实国家和自治区以工代赈扶贫开发重大战略，提高群众出行环境，实现共同富裕的需要项目。本项目作为麦盖提县以工代赈项目，项目的实施不仅对改善目前项目区</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生产生活条件十分必要，同时对落实国家和自治区扶贫开发重大战略，提高当地</w:t>
      </w:r>
      <w:r>
        <w:rPr>
          <w:rFonts w:hint="eastAsia" w:ascii="仿宋" w:hAnsi="仿宋" w:eastAsia="仿宋" w:cs="仿宋"/>
          <w:spacing w:val="6"/>
          <w:sz w:val="32"/>
          <w:szCs w:val="32"/>
          <w:lang w:eastAsia="zh-CN"/>
        </w:rPr>
        <w:t>脱贫不稳定户、边缘易致贫户、突发严重困难户、低收入者的</w:t>
      </w:r>
      <w:r>
        <w:rPr>
          <w:rFonts w:hint="eastAsia" w:ascii="仿宋" w:hAnsi="仿宋" w:eastAsia="仿宋" w:cs="仿宋"/>
          <w:spacing w:val="6"/>
          <w:sz w:val="32"/>
          <w:szCs w:val="32"/>
        </w:rPr>
        <w:t>收入水平，实现共同富裕也具有积极的现实意义。</w:t>
      </w:r>
    </w:p>
    <w:p>
      <w:pPr>
        <w:pStyle w:val="24"/>
        <w:pageBreakBefore w:val="0"/>
        <w:kinsoku/>
        <w:wordWrap/>
        <w:overflowPunct/>
        <w:topLinePunct w:val="0"/>
        <w:bidi w:val="0"/>
        <w:snapToGrid w:val="0"/>
        <w:spacing w:line="570" w:lineRule="exact"/>
        <w:ind w:firstLine="664"/>
        <w:textAlignment w:val="baseline"/>
        <w:rPr>
          <w:rFonts w:hint="eastAsia" w:ascii="仿宋" w:hAnsi="仿宋" w:eastAsia="仿宋" w:cs="仿宋"/>
          <w:b/>
          <w:bCs/>
          <w:spacing w:val="6"/>
          <w:sz w:val="32"/>
          <w:szCs w:val="32"/>
          <w:lang w:eastAsia="zh-CN"/>
        </w:rPr>
      </w:pPr>
      <w:r>
        <w:rPr>
          <w:rFonts w:hint="eastAsia" w:ascii="仿宋" w:hAnsi="仿宋" w:eastAsia="仿宋" w:cs="仿宋"/>
          <w:spacing w:val="6"/>
          <w:sz w:val="32"/>
          <w:szCs w:val="32"/>
        </w:rPr>
        <w:t>项目的建设，有效地促进了当地的经济发展和社会发展。而且间接促进了当地生态环境的改善，项目的建设具有显著的社会效益、经济效益和生态效益。因此，该项目是可行的。</w:t>
      </w:r>
    </w:p>
    <w:p>
      <w:pPr>
        <w:pStyle w:val="24"/>
        <w:pageBreakBefore w:val="0"/>
        <w:numPr>
          <w:ilvl w:val="0"/>
          <w:numId w:val="0"/>
        </w:numPr>
        <w:kinsoku/>
        <w:wordWrap/>
        <w:overflowPunct/>
        <w:topLinePunct w:val="0"/>
        <w:bidi w:val="0"/>
        <w:snapToGrid w:val="0"/>
        <w:spacing w:line="570" w:lineRule="exact"/>
        <w:textAlignment w:val="baseline"/>
        <w:outlineLvl w:val="1"/>
        <w:rPr>
          <w:rFonts w:hint="eastAsia" w:ascii="仿宋" w:hAnsi="仿宋" w:eastAsia="仿宋" w:cs="仿宋"/>
          <w:b/>
          <w:bCs/>
          <w:spacing w:val="6"/>
          <w:sz w:val="32"/>
          <w:szCs w:val="32"/>
          <w:lang w:eastAsia="zh-CN"/>
        </w:rPr>
      </w:pPr>
      <w:bookmarkStart w:id="63" w:name="_Toc10092"/>
      <w:r>
        <w:rPr>
          <w:rFonts w:hint="eastAsia" w:ascii="仿宋" w:hAnsi="仿宋" w:eastAsia="仿宋" w:cs="仿宋"/>
          <w:b/>
          <w:bCs/>
          <w:spacing w:val="6"/>
          <w:sz w:val="32"/>
          <w:szCs w:val="32"/>
          <w:lang w:eastAsia="zh-CN"/>
        </w:rPr>
        <w:t>（二）问题与建议</w:t>
      </w:r>
      <w:bookmarkEnd w:id="63"/>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根据上级以工代赈项目实施精神，以工代赈资金20%应使当地群众受益。在项目建设时，筑路材料等当地具备的应就地解决，同时应安排当地群众有偿参与建设，并切实抓好落实。</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项目施工要通过招投标，施工单位必须具备施工资质，否则不予参加项目招标。</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拟建项目社会效益较好，为争取早日建成，早受益，有关部门应做好前期工作，积极落实配套资金，力争提前建好这项“富民工程”。</w:t>
      </w:r>
    </w:p>
    <w:p>
      <w:pPr>
        <w:pStyle w:val="24"/>
        <w:pageBreakBefore w:val="0"/>
        <w:kinsoku/>
        <w:wordWrap/>
        <w:overflowPunct/>
        <w:topLinePunct w:val="0"/>
        <w:bidi w:val="0"/>
        <w:snapToGrid w:val="0"/>
        <w:spacing w:line="570" w:lineRule="exact"/>
        <w:ind w:left="0" w:leftChars="0" w:firstLine="664" w:firstLineChars="200"/>
        <w:textAlignment w:val="baseline"/>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项目沿线各级政府在项目建设期间，要给予大力支持，给施工单位提供良好的施工环境。</w:t>
      </w: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9"/>
        <w:rPr>
          <w:rFonts w:hint="eastAsia" w:ascii="仿宋" w:hAnsi="仿宋" w:eastAsia="仿宋" w:cs="仿宋"/>
          <w:b/>
          <w:bCs/>
          <w:spacing w:val="6"/>
          <w:sz w:val="36"/>
          <w:szCs w:val="36"/>
          <w:lang w:eastAsia="zh-CN"/>
        </w:rPr>
      </w:pPr>
    </w:p>
    <w:p>
      <w:pPr>
        <w:pStyle w:val="24"/>
        <w:pageBreakBefore w:val="0"/>
        <w:widowControl w:val="0"/>
        <w:numPr>
          <w:ilvl w:val="0"/>
          <w:numId w:val="0"/>
        </w:numPr>
        <w:kinsoku/>
        <w:wordWrap/>
        <w:overflowPunct/>
        <w:topLinePunct w:val="0"/>
        <w:bidi w:val="0"/>
        <w:snapToGrid w:val="0"/>
        <w:spacing w:line="570" w:lineRule="exact"/>
        <w:ind w:leftChars="0"/>
        <w:jc w:val="left"/>
        <w:textAlignment w:val="baseline"/>
        <w:outlineLvl w:val="0"/>
        <w:rPr>
          <w:rFonts w:hint="eastAsia" w:ascii="仿宋" w:hAnsi="仿宋" w:eastAsia="仿宋" w:cs="仿宋"/>
          <w:b/>
          <w:bCs/>
          <w:spacing w:val="6"/>
          <w:sz w:val="36"/>
          <w:szCs w:val="36"/>
          <w:lang w:eastAsia="zh-CN"/>
        </w:rPr>
      </w:pPr>
      <w:bookmarkStart w:id="64" w:name="_Toc10558"/>
      <w:r>
        <w:rPr>
          <w:rFonts w:hint="eastAsia" w:ascii="仿宋" w:hAnsi="仿宋" w:eastAsia="仿宋" w:cs="仿宋"/>
          <w:b/>
          <w:bCs/>
          <w:spacing w:val="6"/>
          <w:sz w:val="36"/>
          <w:szCs w:val="36"/>
          <w:lang w:eastAsia="zh-CN"/>
        </w:rPr>
        <w:t>十六、附表、附图和附件</w:t>
      </w:r>
      <w:bookmarkEnd w:id="64"/>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bookmarkStart w:id="65" w:name="_Toc18900"/>
      <w:r>
        <w:rPr>
          <w:rFonts w:hint="eastAsia" w:ascii="仿宋" w:hAnsi="仿宋" w:eastAsia="仿宋" w:cs="仿宋"/>
          <w:spacing w:val="6"/>
          <w:sz w:val="32"/>
          <w:szCs w:val="32"/>
          <w:lang w:eastAsia="zh-CN"/>
        </w:rPr>
        <w:t>附件</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lang w:eastAsia="zh-CN"/>
        </w:rPr>
        <w:t>总概算（预算）表</w:t>
      </w:r>
      <w:bookmarkEnd w:id="65"/>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ind w:firstLine="664"/>
        <w:jc w:val="left"/>
        <w:textAlignment w:val="auto"/>
        <w:outlineLvl w:val="0"/>
        <w:rPr>
          <w:rFonts w:hint="eastAsia" w:ascii="仿宋" w:hAnsi="仿宋" w:eastAsia="仿宋" w:cs="仿宋"/>
          <w:spacing w:val="6"/>
          <w:sz w:val="32"/>
          <w:szCs w:val="32"/>
          <w:lang w:eastAsia="zh-CN"/>
        </w:rPr>
      </w:pPr>
    </w:p>
    <w:p>
      <w:pPr>
        <w:pStyle w:val="24"/>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仿宋" w:hAnsi="仿宋" w:eastAsia="仿宋" w:cs="仿宋"/>
          <w:spacing w:val="6"/>
          <w:sz w:val="32"/>
          <w:szCs w:val="32"/>
          <w:lang w:eastAsia="zh-CN"/>
        </w:rPr>
      </w:pPr>
    </w:p>
    <w:tbl>
      <w:tblPr>
        <w:tblStyle w:val="13"/>
        <w:tblW w:w="0" w:type="auto"/>
        <w:tblInd w:w="0" w:type="dxa"/>
        <w:tblLayout w:type="fixed"/>
        <w:tblCellMar>
          <w:top w:w="0" w:type="dxa"/>
          <w:left w:w="108" w:type="dxa"/>
          <w:bottom w:w="0" w:type="dxa"/>
          <w:right w:w="108" w:type="dxa"/>
        </w:tblCellMar>
      </w:tblPr>
      <w:tblGrid>
        <w:gridCol w:w="377"/>
        <w:gridCol w:w="2156"/>
        <w:gridCol w:w="919"/>
        <w:gridCol w:w="468"/>
        <w:gridCol w:w="469"/>
        <w:gridCol w:w="938"/>
        <w:gridCol w:w="862"/>
        <w:gridCol w:w="863"/>
        <w:gridCol w:w="787"/>
        <w:gridCol w:w="919"/>
        <w:gridCol w:w="302"/>
      </w:tblGrid>
      <w:tr>
        <w:tblPrEx>
          <w:tblCellMar>
            <w:top w:w="0" w:type="dxa"/>
            <w:left w:w="108" w:type="dxa"/>
            <w:bottom w:w="0" w:type="dxa"/>
            <w:right w:w="108" w:type="dxa"/>
          </w:tblCellMar>
        </w:tblPrEx>
        <w:trPr>
          <w:trHeight w:val="379" w:hRule="atLeast"/>
        </w:trPr>
        <w:tc>
          <w:tcPr>
            <w:tcW w:w="9060" w:type="dxa"/>
            <w:gridSpan w:val="11"/>
            <w:tcBorders>
              <w:top w:val="nil"/>
              <w:left w:val="nil"/>
              <w:bottom w:val="nil"/>
              <w:right w:val="nil"/>
            </w:tcBorders>
            <w:noWrap/>
            <w:vAlign w:val="center"/>
          </w:tcPr>
          <w:p>
            <w:pPr>
              <w:widowControl/>
              <w:jc w:val="left"/>
            </w:pPr>
            <w:r>
              <w:rPr>
                <w:rFonts w:hint="eastAsia"/>
              </w:rPr>
              <w:t>附件</w:t>
            </w:r>
            <w:r>
              <w:t>1</w:t>
            </w:r>
          </w:p>
          <w:p>
            <w:pPr>
              <w:pStyle w:val="2"/>
            </w:pPr>
          </w:p>
        </w:tc>
      </w:tr>
      <w:tr>
        <w:tblPrEx>
          <w:tblCellMar>
            <w:top w:w="0" w:type="dxa"/>
            <w:left w:w="108" w:type="dxa"/>
            <w:bottom w:w="0" w:type="dxa"/>
            <w:right w:w="108" w:type="dxa"/>
          </w:tblCellMar>
        </w:tblPrEx>
        <w:trPr>
          <w:trHeight w:val="1140" w:hRule="atLeast"/>
        </w:trPr>
        <w:tc>
          <w:tcPr>
            <w:tcW w:w="9060" w:type="dxa"/>
            <w:gridSpan w:val="11"/>
            <w:tcBorders>
              <w:top w:val="nil"/>
              <w:left w:val="nil"/>
              <w:bottom w:val="single" w:color="auto" w:sz="8" w:space="0"/>
              <w:right w:val="nil"/>
            </w:tcBorders>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36"/>
                <w:szCs w:val="36"/>
              </w:rPr>
              <w:t>麦盖提县</w:t>
            </w:r>
            <w:r>
              <w:rPr>
                <w:rFonts w:hint="eastAsia" w:ascii="方正小标宋_GBK" w:hAnsi="宋体" w:eastAsia="方正小标宋_GBK" w:cs="宋体"/>
                <w:color w:val="000000"/>
                <w:kern w:val="0"/>
                <w:sz w:val="36"/>
                <w:szCs w:val="36"/>
                <w:lang w:eastAsia="zh-CN"/>
              </w:rPr>
              <w:t>吐曼塔勒乡</w:t>
            </w:r>
            <w:r>
              <w:rPr>
                <w:rFonts w:hint="eastAsia" w:ascii="方正小标宋_GBK" w:hAnsi="宋体" w:eastAsia="方正小标宋_GBK" w:cs="宋体"/>
                <w:color w:val="000000"/>
                <w:kern w:val="0"/>
                <w:sz w:val="36"/>
                <w:szCs w:val="36"/>
              </w:rPr>
              <w:t>产业发展配套道路</w:t>
            </w:r>
            <w:r>
              <w:rPr>
                <w:rFonts w:hint="eastAsia" w:ascii="方正小标宋_GBK" w:hAnsi="宋体" w:eastAsia="方正小标宋_GBK" w:cs="宋体"/>
                <w:color w:val="000000"/>
                <w:kern w:val="0"/>
                <w:sz w:val="36"/>
                <w:szCs w:val="36"/>
                <w:lang w:eastAsia="zh-CN"/>
              </w:rPr>
              <w:t>建设</w:t>
            </w:r>
            <w:r>
              <w:rPr>
                <w:rFonts w:hint="eastAsia" w:ascii="方正小标宋_GBK" w:hAnsi="宋体" w:eastAsia="方正小标宋_GBK" w:cs="宋体"/>
                <w:color w:val="000000"/>
                <w:kern w:val="0"/>
                <w:sz w:val="36"/>
                <w:szCs w:val="36"/>
                <w:lang w:val="en-US" w:eastAsia="zh-CN"/>
              </w:rPr>
              <w:t>2024年</w:t>
            </w:r>
            <w:r>
              <w:rPr>
                <w:rFonts w:hint="eastAsia" w:ascii="方正小标宋_GBK" w:hAnsi="宋体" w:eastAsia="方正小标宋_GBK" w:cs="宋体"/>
                <w:color w:val="000000"/>
                <w:kern w:val="0"/>
                <w:sz w:val="36"/>
                <w:szCs w:val="36"/>
              </w:rPr>
              <w:t>中央财政以工代赈项目</w:t>
            </w:r>
            <w:r>
              <w:rPr>
                <w:rFonts w:hint="eastAsia" w:ascii="方正小标宋_GBK" w:hAnsi="宋体" w:eastAsia="方正小标宋_GBK" w:cs="宋体"/>
                <w:color w:val="000000"/>
                <w:kern w:val="0"/>
                <w:sz w:val="36"/>
                <w:szCs w:val="36"/>
                <w:lang w:val="en-US" w:eastAsia="zh-CN"/>
              </w:rPr>
              <w:t xml:space="preserve"> </w:t>
            </w:r>
            <w:r>
              <w:rPr>
                <w:rFonts w:hint="eastAsia" w:ascii="方正小标宋_GBK" w:hAnsi="宋体" w:eastAsia="方正小标宋_GBK" w:cs="宋体"/>
                <w:color w:val="000000"/>
                <w:kern w:val="0"/>
                <w:sz w:val="36"/>
                <w:szCs w:val="36"/>
              </w:rPr>
              <w:t>投资概算（预算）表</w:t>
            </w:r>
          </w:p>
        </w:tc>
      </w:tr>
      <w:tr>
        <w:tblPrEx>
          <w:tblCellMar>
            <w:top w:w="0" w:type="dxa"/>
            <w:left w:w="108" w:type="dxa"/>
            <w:bottom w:w="0" w:type="dxa"/>
            <w:right w:w="108" w:type="dxa"/>
          </w:tblCellMar>
        </w:tblPrEx>
        <w:trPr>
          <w:trHeight w:val="439" w:hRule="atLeast"/>
        </w:trPr>
        <w:tc>
          <w:tcPr>
            <w:tcW w:w="377" w:type="dxa"/>
            <w:vMerge w:val="restart"/>
            <w:tcBorders>
              <w:top w:val="nil"/>
              <w:left w:val="single" w:color="auto" w:sz="8"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序号</w:t>
            </w:r>
          </w:p>
        </w:tc>
        <w:tc>
          <w:tcPr>
            <w:tcW w:w="2156"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工程或费用名称</w:t>
            </w:r>
          </w:p>
        </w:tc>
        <w:tc>
          <w:tcPr>
            <w:tcW w:w="3656" w:type="dxa"/>
            <w:gridSpan w:val="5"/>
            <w:tcBorders>
              <w:top w:val="single" w:color="auto" w:sz="8" w:space="0"/>
              <w:left w:val="nil"/>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概算（预算）投资（万元）</w:t>
            </w:r>
          </w:p>
        </w:tc>
        <w:tc>
          <w:tcPr>
            <w:tcW w:w="863"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占总投资比例（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787"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其中：劳务报酬金额（万元）</w:t>
            </w:r>
          </w:p>
        </w:tc>
        <w:tc>
          <w:tcPr>
            <w:tcW w:w="919" w:type="dxa"/>
            <w:vMerge w:val="restart"/>
            <w:tcBorders>
              <w:top w:val="nil"/>
              <w:left w:val="single" w:color="auto" w:sz="4" w:space="0"/>
              <w:bottom w:val="nil"/>
              <w:right w:val="single" w:color="auto" w:sz="4" w:space="0"/>
            </w:tcBorders>
            <w:vAlign w:val="center"/>
          </w:tcPr>
          <w:p>
            <w:pPr>
              <w:widowControl/>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劳务报酬占申报中央资金比例（</w:t>
            </w:r>
            <w:r>
              <w:rPr>
                <w:rFonts w:ascii="方正黑体_GBK" w:hAnsi="宋体" w:eastAsia="方正黑体_GBK" w:cs="宋体"/>
                <w:color w:val="000000"/>
                <w:kern w:val="0"/>
                <w:sz w:val="22"/>
                <w:szCs w:val="22"/>
              </w:rPr>
              <w:t>%</w:t>
            </w:r>
            <w:r>
              <w:rPr>
                <w:rFonts w:hint="eastAsia" w:ascii="方正黑体_GBK" w:hAnsi="宋体" w:eastAsia="方正黑体_GBK" w:cs="宋体"/>
                <w:color w:val="000000"/>
                <w:kern w:val="0"/>
                <w:sz w:val="22"/>
                <w:szCs w:val="22"/>
              </w:rPr>
              <w:t>）</w:t>
            </w:r>
          </w:p>
        </w:tc>
        <w:tc>
          <w:tcPr>
            <w:tcW w:w="302" w:type="dxa"/>
            <w:vMerge w:val="restart"/>
            <w:tcBorders>
              <w:top w:val="nil"/>
              <w:left w:val="single" w:color="auto" w:sz="4" w:space="0"/>
              <w:bottom w:val="nil"/>
              <w:right w:val="single" w:color="auto" w:sz="8" w:space="0"/>
            </w:tcBorders>
            <w:vAlign w:val="center"/>
          </w:tcPr>
          <w:p>
            <w:pPr>
              <w:widowControl/>
              <w:jc w:val="both"/>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备注</w:t>
            </w:r>
          </w:p>
        </w:tc>
      </w:tr>
      <w:tr>
        <w:tblPrEx>
          <w:tblCellMar>
            <w:top w:w="0" w:type="dxa"/>
            <w:left w:w="108" w:type="dxa"/>
            <w:bottom w:w="0" w:type="dxa"/>
            <w:right w:w="108" w:type="dxa"/>
          </w:tblCellMar>
        </w:tblPrEx>
        <w:trPr>
          <w:trHeight w:val="525" w:hRule="atLeast"/>
        </w:trPr>
        <w:tc>
          <w:tcPr>
            <w:tcW w:w="377" w:type="dxa"/>
            <w:vMerge w:val="continue"/>
            <w:tcBorders>
              <w:top w:val="nil"/>
              <w:left w:val="single" w:color="auto" w:sz="8"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2156"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建筑工程</w:t>
            </w:r>
          </w:p>
        </w:tc>
        <w:tc>
          <w:tcPr>
            <w:tcW w:w="46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安装工程</w:t>
            </w:r>
          </w:p>
        </w:tc>
        <w:tc>
          <w:tcPr>
            <w:tcW w:w="469"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设备购置</w:t>
            </w:r>
          </w:p>
        </w:tc>
        <w:tc>
          <w:tcPr>
            <w:tcW w:w="938"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其他费用</w:t>
            </w:r>
          </w:p>
        </w:tc>
        <w:tc>
          <w:tcPr>
            <w:tcW w:w="862" w:type="dxa"/>
            <w:tcBorders>
              <w:top w:val="nil"/>
              <w:left w:val="nil"/>
              <w:bottom w:val="nil"/>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863"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787"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919" w:type="dxa"/>
            <w:vMerge w:val="continue"/>
            <w:tcBorders>
              <w:top w:val="nil"/>
              <w:left w:val="single" w:color="auto" w:sz="4" w:space="0"/>
              <w:bottom w:val="nil"/>
              <w:right w:val="single" w:color="auto" w:sz="4" w:space="0"/>
            </w:tcBorders>
            <w:vAlign w:val="center"/>
          </w:tcPr>
          <w:p>
            <w:pPr>
              <w:widowControl/>
              <w:jc w:val="left"/>
              <w:rPr>
                <w:rFonts w:ascii="方正黑体_GBK" w:hAnsi="宋体" w:eastAsia="方正黑体_GBK" w:cs="宋体"/>
                <w:color w:val="000000"/>
                <w:kern w:val="0"/>
                <w:sz w:val="24"/>
                <w:szCs w:val="24"/>
              </w:rPr>
            </w:pPr>
          </w:p>
        </w:tc>
        <w:tc>
          <w:tcPr>
            <w:tcW w:w="302" w:type="dxa"/>
            <w:vMerge w:val="continue"/>
            <w:tcBorders>
              <w:top w:val="nil"/>
              <w:left w:val="single" w:color="auto" w:sz="4" w:space="0"/>
              <w:bottom w:val="nil"/>
              <w:right w:val="single" w:color="auto" w:sz="8"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377"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1"/>
                <w:szCs w:val="21"/>
              </w:rPr>
              <w:t>一</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1"/>
                <w:szCs w:val="21"/>
              </w:rPr>
            </w:pPr>
            <w:r>
              <w:rPr>
                <w:rFonts w:hint="eastAsia" w:ascii="方正仿宋_GBK" w:hAnsi="Times New Roman" w:eastAsia="方正仿宋_GBK"/>
                <w:b/>
                <w:bCs/>
                <w:color w:val="000000"/>
                <w:kern w:val="0"/>
                <w:sz w:val="22"/>
                <w:szCs w:val="22"/>
              </w:rPr>
              <w:t>建筑安装工程费</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370.546</w:t>
            </w:r>
          </w:p>
        </w:tc>
        <w:tc>
          <w:tcPr>
            <w:tcW w:w="46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469"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938"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370.546</w:t>
            </w:r>
          </w:p>
        </w:tc>
        <w:tc>
          <w:tcPr>
            <w:tcW w:w="86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92.73%</w:t>
            </w:r>
          </w:p>
        </w:tc>
        <w:tc>
          <w:tcPr>
            <w:tcW w:w="7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83</w:t>
            </w:r>
          </w:p>
        </w:tc>
        <w:tc>
          <w:tcPr>
            <w:tcW w:w="9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val="0"/>
                <w:bCs w:val="0"/>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20.75%</w:t>
            </w:r>
          </w:p>
        </w:tc>
        <w:tc>
          <w:tcPr>
            <w:tcW w:w="302" w:type="dxa"/>
            <w:tcBorders>
              <w:top w:val="single" w:color="auto" w:sz="4" w:space="0"/>
              <w:left w:val="nil"/>
              <w:bottom w:val="single" w:color="auto" w:sz="4" w:space="0"/>
              <w:right w:val="single" w:color="auto" w:sz="8"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路基工程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52.506</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52.506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13.14%</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5.50%</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jc w:val="both"/>
              <w:rPr>
                <w:rFonts w:hint="eastAsia" w:ascii="Times New Roman" w:hAnsi="Times New Roman" w:eastAsia="宋体"/>
                <w:color w:val="000000"/>
                <w:kern w:val="0"/>
                <w:sz w:val="21"/>
                <w:szCs w:val="21"/>
                <w:lang w:eastAsia="zh-CN"/>
              </w:rPr>
            </w:pPr>
            <w:r>
              <w:rPr>
                <w:rFonts w:hint="eastAsia" w:ascii="方正仿宋_GBK" w:hAnsi="Times New Roman" w:eastAsia="方正仿宋_GBK"/>
                <w:color w:val="000000"/>
                <w:kern w:val="0"/>
                <w:sz w:val="21"/>
                <w:szCs w:val="21"/>
                <w:lang w:eastAsia="zh-CN"/>
              </w:rPr>
              <w:t>路面工程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232.823</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232.823</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58.26%</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10.00%</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桥梁涵洞工程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57.432</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57.432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14.37%</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5.00%</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交叉工程</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6.354</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6.354</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1.59%</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2156" w:type="dxa"/>
            <w:tcBorders>
              <w:top w:val="nil"/>
              <w:left w:val="nil"/>
              <w:bottom w:val="single" w:color="auto" w:sz="4" w:space="0"/>
              <w:right w:val="single" w:color="auto" w:sz="4" w:space="0"/>
            </w:tcBorders>
            <w:noWrap/>
            <w:vAlign w:val="center"/>
          </w:tcPr>
          <w:p>
            <w:pPr>
              <w:widowControl/>
              <w:jc w:val="both"/>
              <w:rPr>
                <w:rFonts w:ascii="Times New Roman" w:hAnsi="Times New Roman" w:eastAsia="宋体"/>
                <w:color w:val="000000"/>
                <w:kern w:val="0"/>
                <w:sz w:val="21"/>
                <w:szCs w:val="21"/>
              </w:rPr>
            </w:pPr>
            <w:r>
              <w:rPr>
                <w:rFonts w:hint="eastAsia" w:ascii="方正仿宋_GBK" w:hAnsi="Times New Roman" w:eastAsia="方正仿宋_GBK"/>
                <w:color w:val="000000"/>
                <w:kern w:val="0"/>
                <w:sz w:val="21"/>
                <w:szCs w:val="21"/>
                <w:lang w:eastAsia="zh-CN"/>
              </w:rPr>
              <w:t>交通工程及沿线设施</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4.235</w:t>
            </w:r>
          </w:p>
        </w:tc>
        <w:tc>
          <w:tcPr>
            <w:tcW w:w="46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4.235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1.06%</w:t>
            </w:r>
          </w:p>
        </w:tc>
        <w:tc>
          <w:tcPr>
            <w:tcW w:w="78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0.25%</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34"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2156"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color w:val="000000"/>
                <w:kern w:val="0"/>
                <w:sz w:val="21"/>
                <w:szCs w:val="21"/>
                <w:lang w:eastAsia="zh-CN"/>
              </w:rPr>
            </w:pPr>
            <w:r>
              <w:rPr>
                <w:rFonts w:hint="eastAsia" w:ascii="方正仿宋_GBK" w:hAnsi="Times New Roman" w:eastAsia="方正仿宋_GBK"/>
                <w:color w:val="000000"/>
                <w:kern w:val="0"/>
                <w:sz w:val="21"/>
                <w:szCs w:val="21"/>
                <w:lang w:eastAsia="zh-CN"/>
              </w:rPr>
              <w:t>专项费用</w:t>
            </w:r>
          </w:p>
        </w:tc>
        <w:tc>
          <w:tcPr>
            <w:tcW w:w="919"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17.196</w:t>
            </w:r>
          </w:p>
        </w:tc>
        <w:tc>
          <w:tcPr>
            <w:tcW w:w="468"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17.196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4.30%</w:t>
            </w:r>
          </w:p>
        </w:tc>
        <w:tc>
          <w:tcPr>
            <w:tcW w:w="787" w:type="dxa"/>
            <w:tcBorders>
              <w:top w:val="nil"/>
              <w:left w:val="nil"/>
              <w:bottom w:val="single" w:color="auto" w:sz="4" w:space="0"/>
              <w:right w:val="single" w:color="auto" w:sz="4" w:space="0"/>
            </w:tcBorders>
            <w:noWrap/>
            <w:vAlign w:val="center"/>
          </w:tcPr>
          <w:p>
            <w:pPr>
              <w:jc w:val="center"/>
              <w:rPr>
                <w:rFonts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二</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工程建设其他费用</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rPr>
                <w:rFonts w:ascii="Times New Roman" w:hAnsi="Times New Roman" w:eastAsia="宋体"/>
                <w:b/>
                <w:bCs/>
                <w:color w:val="000000"/>
                <w:kern w:val="0"/>
                <w:sz w:val="18"/>
                <w:szCs w:val="18"/>
              </w:rPr>
            </w:pP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17.051</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4.27%</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2156" w:type="dxa"/>
            <w:tcBorders>
              <w:top w:val="nil"/>
              <w:left w:val="nil"/>
              <w:bottom w:val="single" w:color="auto" w:sz="4" w:space="0"/>
              <w:right w:val="single" w:color="auto" w:sz="4" w:space="0"/>
            </w:tcBorders>
            <w:noWrap/>
            <w:vAlign w:val="center"/>
          </w:tcPr>
          <w:p>
            <w:pPr>
              <w:widowControl/>
              <w:jc w:val="center"/>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建设项目管理费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11.896</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11.896</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2.98%</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2</w:t>
            </w:r>
          </w:p>
        </w:tc>
        <w:tc>
          <w:tcPr>
            <w:tcW w:w="2156" w:type="dxa"/>
            <w:tcBorders>
              <w:top w:val="nil"/>
              <w:left w:val="nil"/>
              <w:bottom w:val="single" w:color="auto" w:sz="4" w:space="0"/>
              <w:right w:val="single" w:color="auto" w:sz="4" w:space="0"/>
            </w:tcBorders>
            <w:noWrap/>
            <w:vAlign w:val="center"/>
          </w:tcPr>
          <w:p>
            <w:pPr>
              <w:widowControl/>
              <w:ind w:firstLine="630" w:firstLineChars="300"/>
              <w:jc w:val="both"/>
              <w:rPr>
                <w:rFonts w:hint="eastAsia" w:ascii="方正仿宋_GBK" w:hAnsi="Times New Roman" w:eastAsia="方正仿宋_GBK"/>
                <w:color w:val="000000"/>
                <w:kern w:val="0"/>
                <w:sz w:val="21"/>
                <w:szCs w:val="21"/>
                <w:lang w:eastAsia="zh-CN"/>
              </w:rPr>
            </w:pPr>
            <w:r>
              <w:rPr>
                <w:rFonts w:hint="eastAsia" w:ascii="方正仿宋_GBK" w:hAnsi="Times New Roman" w:eastAsia="方正仿宋_GBK"/>
                <w:color w:val="000000"/>
                <w:kern w:val="0"/>
                <w:sz w:val="21"/>
                <w:szCs w:val="21"/>
                <w:lang w:eastAsia="zh-CN"/>
              </w:rPr>
              <w:t>监理费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5.155</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5.155</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1.29%</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18"/>
                <w:szCs w:val="18"/>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三</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基本预备费</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color w:val="000000"/>
                <w:kern w:val="0"/>
                <w:sz w:val="18"/>
                <w:szCs w:val="18"/>
              </w:rPr>
            </w:pPr>
            <w:r>
              <w:rPr>
                <w:rFonts w:hint="eastAsia" w:ascii="Times New Roman" w:hAnsi="Times New Roman" w:eastAsia="宋体"/>
                <w:b/>
                <w:bCs/>
                <w:color w:val="000000"/>
                <w:kern w:val="0"/>
                <w:sz w:val="18"/>
                <w:szCs w:val="18"/>
              </w:rPr>
              <w:t>　</w:t>
            </w:r>
          </w:p>
        </w:tc>
        <w:tc>
          <w:tcPr>
            <w:tcW w:w="9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12.002</w:t>
            </w:r>
          </w:p>
        </w:tc>
        <w:tc>
          <w:tcPr>
            <w:tcW w:w="86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val="0"/>
                <w:bCs w:val="0"/>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12.002</w:t>
            </w:r>
          </w:p>
        </w:tc>
        <w:tc>
          <w:tcPr>
            <w:tcW w:w="86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3.00%</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2156"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olor w:val="000000"/>
                <w:kern w:val="0"/>
                <w:sz w:val="22"/>
              </w:rPr>
            </w:pPr>
            <w:r>
              <w:rPr>
                <w:rFonts w:hint="eastAsia" w:ascii="Times New Roman" w:hAnsi="Times New Roman" w:eastAsia="宋体"/>
                <w:color w:val="000000"/>
                <w:kern w:val="0"/>
                <w:sz w:val="22"/>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46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3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86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78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91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c>
          <w:tcPr>
            <w:tcW w:w="302"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　</w:t>
            </w:r>
          </w:p>
        </w:tc>
      </w:tr>
      <w:tr>
        <w:tblPrEx>
          <w:tblCellMar>
            <w:top w:w="0" w:type="dxa"/>
            <w:left w:w="108" w:type="dxa"/>
            <w:bottom w:w="0" w:type="dxa"/>
            <w:right w:w="108" w:type="dxa"/>
          </w:tblCellMar>
        </w:tblPrEx>
        <w:trPr>
          <w:trHeight w:val="342" w:hRule="atLeast"/>
        </w:trPr>
        <w:tc>
          <w:tcPr>
            <w:tcW w:w="377" w:type="dxa"/>
            <w:tcBorders>
              <w:top w:val="nil"/>
              <w:left w:val="single" w:color="auto" w:sz="8"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2"/>
              </w:rPr>
            </w:pPr>
          </w:p>
        </w:tc>
        <w:tc>
          <w:tcPr>
            <w:tcW w:w="2156"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 w:val="22"/>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46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3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2"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863"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787"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919"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 w:val="20"/>
                <w:szCs w:val="20"/>
              </w:rPr>
            </w:pPr>
          </w:p>
        </w:tc>
        <w:tc>
          <w:tcPr>
            <w:tcW w:w="302" w:type="dxa"/>
            <w:tcBorders>
              <w:top w:val="nil"/>
              <w:left w:val="nil"/>
              <w:bottom w:val="single" w:color="auto" w:sz="4" w:space="0"/>
              <w:right w:val="single" w:color="auto" w:sz="8" w:space="0"/>
            </w:tcBorders>
            <w:noWrap/>
            <w:vAlign w:val="center"/>
          </w:tcPr>
          <w:p>
            <w:pPr>
              <w:widowControl/>
              <w:jc w:val="center"/>
              <w:rPr>
                <w:rFonts w:hint="eastAsia" w:ascii="Times New Roman" w:hAnsi="Times New Roman" w:eastAsia="宋体"/>
                <w:color w:val="000000"/>
                <w:kern w:val="0"/>
                <w:sz w:val="20"/>
                <w:szCs w:val="20"/>
              </w:rPr>
            </w:pPr>
          </w:p>
        </w:tc>
      </w:tr>
      <w:tr>
        <w:tblPrEx>
          <w:tblCellMar>
            <w:top w:w="0" w:type="dxa"/>
            <w:left w:w="108" w:type="dxa"/>
            <w:bottom w:w="0" w:type="dxa"/>
            <w:right w:w="108" w:type="dxa"/>
          </w:tblCellMar>
        </w:tblPrEx>
        <w:trPr>
          <w:trHeight w:val="439" w:hRule="atLeast"/>
        </w:trPr>
        <w:tc>
          <w:tcPr>
            <w:tcW w:w="2533" w:type="dxa"/>
            <w:gridSpan w:val="2"/>
            <w:tcBorders>
              <w:top w:val="single" w:color="auto" w:sz="4" w:space="0"/>
              <w:left w:val="single" w:color="auto" w:sz="8" w:space="0"/>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22"/>
              </w:rPr>
            </w:pPr>
            <w:r>
              <w:rPr>
                <w:rFonts w:hint="eastAsia" w:ascii="方正仿宋_GBK" w:hAnsi="Times New Roman" w:eastAsia="方正仿宋_GBK"/>
                <w:b/>
                <w:bCs/>
                <w:color w:val="000000"/>
                <w:kern w:val="0"/>
                <w:sz w:val="22"/>
              </w:rPr>
              <w:t>项目总投资（一</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二</w:t>
            </w:r>
            <w:r>
              <w:rPr>
                <w:rFonts w:ascii="Times New Roman" w:hAnsi="Times New Roman" w:eastAsia="宋体"/>
                <w:b/>
                <w:bCs/>
                <w:color w:val="000000"/>
                <w:kern w:val="0"/>
                <w:sz w:val="22"/>
              </w:rPr>
              <w:t>+</w:t>
            </w:r>
            <w:r>
              <w:rPr>
                <w:rFonts w:hint="eastAsia" w:ascii="方正仿宋_GBK" w:hAnsi="Times New Roman" w:eastAsia="方正仿宋_GBK"/>
                <w:b/>
                <w:bCs/>
                <w:color w:val="000000"/>
                <w:kern w:val="0"/>
                <w:sz w:val="22"/>
              </w:rPr>
              <w:t>三）</w:t>
            </w:r>
          </w:p>
        </w:tc>
        <w:tc>
          <w:tcPr>
            <w:tcW w:w="919"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22"/>
              </w:rPr>
            </w:pPr>
            <w:r>
              <w:rPr>
                <w:rFonts w:hint="eastAsia" w:ascii="宋体" w:hAnsi="宋体" w:eastAsia="宋体" w:cs="宋体"/>
                <w:b/>
                <w:bCs/>
                <w:i w:val="0"/>
                <w:iCs w:val="0"/>
                <w:color w:val="000000"/>
                <w:kern w:val="0"/>
                <w:sz w:val="18"/>
                <w:szCs w:val="18"/>
                <w:u w:val="none"/>
                <w:lang w:val="en-US" w:eastAsia="zh-CN" w:bidi="ar"/>
              </w:rPr>
              <w:t>399.599</w:t>
            </w:r>
          </w:p>
        </w:tc>
        <w:tc>
          <w:tcPr>
            <w:tcW w:w="46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469"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938"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22"/>
              </w:rPr>
            </w:pPr>
          </w:p>
        </w:tc>
        <w:tc>
          <w:tcPr>
            <w:tcW w:w="862" w:type="dxa"/>
            <w:tcBorders>
              <w:top w:val="nil"/>
              <w:left w:val="nil"/>
              <w:bottom w:val="single" w:color="auto" w:sz="8" w:space="0"/>
              <w:right w:val="single" w:color="auto" w:sz="4" w:space="0"/>
            </w:tcBorders>
            <w:noWrap/>
            <w:vAlign w:val="center"/>
          </w:tcPr>
          <w:p>
            <w:pPr>
              <w:jc w:val="center"/>
              <w:rPr>
                <w:rFonts w:ascii="Times New Roman" w:hAnsi="Times New Roman" w:eastAsia="宋体"/>
                <w:b/>
                <w:bCs/>
                <w:color w:val="000000"/>
                <w:kern w:val="0"/>
                <w:sz w:val="18"/>
                <w:szCs w:val="18"/>
              </w:rPr>
            </w:pPr>
          </w:p>
        </w:tc>
        <w:tc>
          <w:tcPr>
            <w:tcW w:w="863"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ascii="Times New Roman" w:hAnsi="Times New Roman" w:eastAsia="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100.00%</w:t>
            </w:r>
          </w:p>
        </w:tc>
        <w:tc>
          <w:tcPr>
            <w:tcW w:w="787" w:type="dxa"/>
            <w:tcBorders>
              <w:top w:val="nil"/>
              <w:left w:val="nil"/>
              <w:bottom w:val="single" w:color="auto" w:sz="8"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b/>
                <w:bCs/>
                <w:color w:val="000000"/>
                <w:kern w:val="0"/>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83</w:t>
            </w:r>
          </w:p>
        </w:tc>
        <w:tc>
          <w:tcPr>
            <w:tcW w:w="919" w:type="dxa"/>
            <w:tcBorders>
              <w:top w:val="nil"/>
              <w:left w:val="nil"/>
              <w:bottom w:val="single" w:color="auto" w:sz="8" w:space="0"/>
              <w:right w:val="single" w:color="auto" w:sz="4" w:space="0"/>
            </w:tcBorders>
            <w:noWrap/>
            <w:vAlign w:val="center"/>
          </w:tcPr>
          <w:p>
            <w:pPr>
              <w:widowControl/>
              <w:jc w:val="center"/>
              <w:rPr>
                <w:rFonts w:ascii="Times New Roman" w:hAnsi="Times New Roman" w:eastAsia="宋体"/>
                <w:b/>
                <w:bCs/>
                <w:color w:val="000000"/>
                <w:kern w:val="0"/>
                <w:sz w:val="18"/>
                <w:szCs w:val="18"/>
              </w:rPr>
            </w:pPr>
          </w:p>
        </w:tc>
        <w:tc>
          <w:tcPr>
            <w:tcW w:w="302" w:type="dxa"/>
            <w:tcBorders>
              <w:top w:val="nil"/>
              <w:left w:val="nil"/>
              <w:bottom w:val="single" w:color="auto" w:sz="8" w:space="0"/>
              <w:right w:val="single" w:color="auto" w:sz="8" w:space="0"/>
            </w:tcBorders>
            <w:noWrap/>
            <w:vAlign w:val="center"/>
          </w:tcPr>
          <w:p>
            <w:pPr>
              <w:widowControl/>
              <w:jc w:val="center"/>
              <w:rPr>
                <w:rFonts w:ascii="Times New Roman" w:hAnsi="Times New Roman" w:eastAsia="宋体"/>
                <w:b/>
                <w:bCs/>
                <w:color w:val="000000"/>
                <w:kern w:val="0"/>
                <w:sz w:val="22"/>
              </w:rPr>
            </w:pPr>
            <w:r>
              <w:rPr>
                <w:rFonts w:hint="eastAsia" w:ascii="Times New Roman" w:hAnsi="Times New Roman" w:eastAsia="宋体"/>
                <w:b/>
                <w:bCs/>
                <w:color w:val="000000"/>
                <w:kern w:val="0"/>
                <w:sz w:val="22"/>
              </w:rPr>
              <w:t>　</w:t>
            </w:r>
          </w:p>
        </w:tc>
      </w:tr>
    </w:tbl>
    <w:p>
      <w:pPr>
        <w:pStyle w:val="2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outlineLvl w:val="9"/>
        <w:rPr>
          <w:rFonts w:hint="eastAsia" w:ascii="仿宋" w:hAnsi="仿宋" w:eastAsia="仿宋" w:cs="仿宋"/>
          <w:spacing w:val="6"/>
          <w:sz w:val="32"/>
          <w:szCs w:val="32"/>
        </w:rPr>
      </w:pPr>
    </w:p>
    <w:sectPr>
      <w:footerReference r:id="rId10" w:type="default"/>
      <w:pgSz w:w="11906" w:h="16838"/>
      <w:pgMar w:top="2098" w:right="1531" w:bottom="1984" w:left="1531"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19</w:t>
    </w:r>
    <w:r>
      <w:rPr>
        <w:rFonts w:ascii="Times New Roman" w:hAnsi="Times New Roman"/>
        <w:sz w:val="21"/>
        <w:szCs w:val="21"/>
      </w:rPr>
      <w:fldChar w:fldCharType="end"/>
    </w:r>
    <w:r>
      <w:rPr>
        <w:rFonts w:ascii="Times New Roman" w:hAnsi="Times New Roman"/>
        <w:sz w:val="21"/>
        <w:szCs w:val="21"/>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rPr>
        <w:rFonts w:ascii="Times New Roman" w:hAnsi="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lang w:val="zh-CN"/>
      </w:rPr>
    </w:pPr>
  </w:p>
  <w:p>
    <w:pPr>
      <w:pStyle w:val="8"/>
      <w:jc w:val="center"/>
      <w:rPr>
        <w:rFonts w:ascii="Times New Roman" w:hAnsi="Times New Roman"/>
        <w:sz w:val="21"/>
        <w:szCs w:val="21"/>
      </w:rPr>
    </w:pPr>
    <w:r>
      <w:rPr>
        <w:rFonts w:ascii="Times New Roman" w:hAnsi="Times New Roman"/>
        <w:sz w:val="21"/>
        <w:szCs w:val="21"/>
        <w:lang w:val="zh-CN"/>
      </w:rPr>
      <w:t>~</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r>
      <w:rPr>
        <w:rFonts w:ascii="Times New Roman" w:hAnsi="Times New Roman"/>
        <w:sz w:val="21"/>
        <w:szCs w:val="21"/>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8538"/>
    <w:multiLevelType w:val="singleLevel"/>
    <w:tmpl w:val="F4678538"/>
    <w:lvl w:ilvl="0" w:tentative="0">
      <w:start w:val="1"/>
      <w:numFmt w:val="chineseCounting"/>
      <w:suff w:val="nothing"/>
      <w:lvlText w:val="（%1）"/>
      <w:lvlJc w:val="left"/>
      <w:rPr>
        <w:rFonts w:hint="eastAsia"/>
      </w:rPr>
    </w:lvl>
  </w:abstractNum>
  <w:abstractNum w:abstractNumId="1">
    <w:nsid w:val="3C22ECCD"/>
    <w:multiLevelType w:val="singleLevel"/>
    <w:tmpl w:val="3C22ECCD"/>
    <w:lvl w:ilvl="0" w:tentative="0">
      <w:start w:val="4"/>
      <w:numFmt w:val="chineseCounting"/>
      <w:suff w:val="nothing"/>
      <w:lvlText w:val="%1、"/>
      <w:lvlJc w:val="left"/>
      <w:pPr>
        <w:ind w:left="-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1ZjcyYTM4MGVhNjhhNzRiYWY5MzBiMDJkYTcwZjUifQ=="/>
  </w:docVars>
  <w:rsids>
    <w:rsidRoot w:val="00172A27"/>
    <w:rsid w:val="00017D72"/>
    <w:rsid w:val="00021092"/>
    <w:rsid w:val="0002561E"/>
    <w:rsid w:val="00036ACC"/>
    <w:rsid w:val="0005491C"/>
    <w:rsid w:val="00096F1A"/>
    <w:rsid w:val="000C1FF9"/>
    <w:rsid w:val="000E5D71"/>
    <w:rsid w:val="00121F55"/>
    <w:rsid w:val="00133387"/>
    <w:rsid w:val="001504EF"/>
    <w:rsid w:val="00152CC1"/>
    <w:rsid w:val="00172A27"/>
    <w:rsid w:val="00172E78"/>
    <w:rsid w:val="00182387"/>
    <w:rsid w:val="00186BF0"/>
    <w:rsid w:val="001B0774"/>
    <w:rsid w:val="001B24F1"/>
    <w:rsid w:val="001C0158"/>
    <w:rsid w:val="001C048E"/>
    <w:rsid w:val="001D5BA5"/>
    <w:rsid w:val="00280B22"/>
    <w:rsid w:val="00286DB6"/>
    <w:rsid w:val="00290EF7"/>
    <w:rsid w:val="00291AFB"/>
    <w:rsid w:val="002B58D3"/>
    <w:rsid w:val="002E042F"/>
    <w:rsid w:val="002E7346"/>
    <w:rsid w:val="00323D4A"/>
    <w:rsid w:val="00356B2E"/>
    <w:rsid w:val="00362C82"/>
    <w:rsid w:val="0036566E"/>
    <w:rsid w:val="00392DC7"/>
    <w:rsid w:val="003E344D"/>
    <w:rsid w:val="0040159C"/>
    <w:rsid w:val="00407F2D"/>
    <w:rsid w:val="004347AF"/>
    <w:rsid w:val="004A2182"/>
    <w:rsid w:val="004B123D"/>
    <w:rsid w:val="004B48CF"/>
    <w:rsid w:val="004B669C"/>
    <w:rsid w:val="00531956"/>
    <w:rsid w:val="00577718"/>
    <w:rsid w:val="00577A4A"/>
    <w:rsid w:val="00583871"/>
    <w:rsid w:val="005A7CDA"/>
    <w:rsid w:val="005B61BD"/>
    <w:rsid w:val="006B6DF6"/>
    <w:rsid w:val="006C56FE"/>
    <w:rsid w:val="00706BA9"/>
    <w:rsid w:val="00723E89"/>
    <w:rsid w:val="00737116"/>
    <w:rsid w:val="00750E70"/>
    <w:rsid w:val="0075190F"/>
    <w:rsid w:val="00772BC6"/>
    <w:rsid w:val="007A40B7"/>
    <w:rsid w:val="007C3495"/>
    <w:rsid w:val="00802AF0"/>
    <w:rsid w:val="00812ED9"/>
    <w:rsid w:val="0082057F"/>
    <w:rsid w:val="00853BE6"/>
    <w:rsid w:val="008A048B"/>
    <w:rsid w:val="008D7AA2"/>
    <w:rsid w:val="008E0C60"/>
    <w:rsid w:val="008F598A"/>
    <w:rsid w:val="0092513B"/>
    <w:rsid w:val="00936276"/>
    <w:rsid w:val="0093638A"/>
    <w:rsid w:val="00940D97"/>
    <w:rsid w:val="00986D86"/>
    <w:rsid w:val="009E139E"/>
    <w:rsid w:val="009E6332"/>
    <w:rsid w:val="009F3350"/>
    <w:rsid w:val="00A010BF"/>
    <w:rsid w:val="00A0692A"/>
    <w:rsid w:val="00A06F97"/>
    <w:rsid w:val="00A1090E"/>
    <w:rsid w:val="00A21A15"/>
    <w:rsid w:val="00A21BFD"/>
    <w:rsid w:val="00A400FD"/>
    <w:rsid w:val="00A65B21"/>
    <w:rsid w:val="00A73BD9"/>
    <w:rsid w:val="00AB7B21"/>
    <w:rsid w:val="00AC6766"/>
    <w:rsid w:val="00AE5C62"/>
    <w:rsid w:val="00B06E28"/>
    <w:rsid w:val="00B133D8"/>
    <w:rsid w:val="00B20820"/>
    <w:rsid w:val="00B24B29"/>
    <w:rsid w:val="00B32474"/>
    <w:rsid w:val="00B3614B"/>
    <w:rsid w:val="00B70DAF"/>
    <w:rsid w:val="00B87034"/>
    <w:rsid w:val="00BA337D"/>
    <w:rsid w:val="00BC0EB9"/>
    <w:rsid w:val="00BE22FA"/>
    <w:rsid w:val="00BE45BC"/>
    <w:rsid w:val="00C04AF1"/>
    <w:rsid w:val="00C20A57"/>
    <w:rsid w:val="00C86A1D"/>
    <w:rsid w:val="00C968FC"/>
    <w:rsid w:val="00CC6C7E"/>
    <w:rsid w:val="00D11920"/>
    <w:rsid w:val="00D33BBC"/>
    <w:rsid w:val="00D70622"/>
    <w:rsid w:val="00D82147"/>
    <w:rsid w:val="00D90940"/>
    <w:rsid w:val="00DC3189"/>
    <w:rsid w:val="00DD5FAB"/>
    <w:rsid w:val="00E0037D"/>
    <w:rsid w:val="00E0770D"/>
    <w:rsid w:val="00E165F2"/>
    <w:rsid w:val="00E626BA"/>
    <w:rsid w:val="00E76359"/>
    <w:rsid w:val="00E82F07"/>
    <w:rsid w:val="00E92E24"/>
    <w:rsid w:val="00EA464A"/>
    <w:rsid w:val="00EC7E67"/>
    <w:rsid w:val="00EE3C29"/>
    <w:rsid w:val="00F064AE"/>
    <w:rsid w:val="00F1591A"/>
    <w:rsid w:val="00F2497D"/>
    <w:rsid w:val="00FA224E"/>
    <w:rsid w:val="00FB46D3"/>
    <w:rsid w:val="00FB5B77"/>
    <w:rsid w:val="00FC4C92"/>
    <w:rsid w:val="00FD3975"/>
    <w:rsid w:val="01011432"/>
    <w:rsid w:val="011748C4"/>
    <w:rsid w:val="012314AB"/>
    <w:rsid w:val="015123B9"/>
    <w:rsid w:val="0158321F"/>
    <w:rsid w:val="01583748"/>
    <w:rsid w:val="01620834"/>
    <w:rsid w:val="017240DE"/>
    <w:rsid w:val="01B2379A"/>
    <w:rsid w:val="01BC0FA3"/>
    <w:rsid w:val="01D9415D"/>
    <w:rsid w:val="01E449DA"/>
    <w:rsid w:val="020E7EB7"/>
    <w:rsid w:val="02381182"/>
    <w:rsid w:val="02385327"/>
    <w:rsid w:val="024141DC"/>
    <w:rsid w:val="024737BC"/>
    <w:rsid w:val="025722C7"/>
    <w:rsid w:val="02685C0C"/>
    <w:rsid w:val="02936A01"/>
    <w:rsid w:val="029562D6"/>
    <w:rsid w:val="02A93B2F"/>
    <w:rsid w:val="02AD7AC3"/>
    <w:rsid w:val="02B20C36"/>
    <w:rsid w:val="02BE3A7E"/>
    <w:rsid w:val="03062D2F"/>
    <w:rsid w:val="030D40BE"/>
    <w:rsid w:val="036B7036"/>
    <w:rsid w:val="038720C2"/>
    <w:rsid w:val="03880F30"/>
    <w:rsid w:val="039667A9"/>
    <w:rsid w:val="03C110F9"/>
    <w:rsid w:val="03C2759E"/>
    <w:rsid w:val="03D1158F"/>
    <w:rsid w:val="03D16E47"/>
    <w:rsid w:val="03E2554B"/>
    <w:rsid w:val="03E868D9"/>
    <w:rsid w:val="03F4527E"/>
    <w:rsid w:val="040731F8"/>
    <w:rsid w:val="041E22FB"/>
    <w:rsid w:val="04206159"/>
    <w:rsid w:val="042F62B6"/>
    <w:rsid w:val="0449381C"/>
    <w:rsid w:val="04510922"/>
    <w:rsid w:val="046B5540"/>
    <w:rsid w:val="0475016D"/>
    <w:rsid w:val="04820ADC"/>
    <w:rsid w:val="04904FA7"/>
    <w:rsid w:val="04910D1F"/>
    <w:rsid w:val="049F343C"/>
    <w:rsid w:val="049F7431"/>
    <w:rsid w:val="04A52162"/>
    <w:rsid w:val="04AB4D5E"/>
    <w:rsid w:val="04B934CE"/>
    <w:rsid w:val="04D83D7B"/>
    <w:rsid w:val="04E62E18"/>
    <w:rsid w:val="04F80D9E"/>
    <w:rsid w:val="04F82B4C"/>
    <w:rsid w:val="05084B6C"/>
    <w:rsid w:val="053C0C8A"/>
    <w:rsid w:val="054162A1"/>
    <w:rsid w:val="05467D5B"/>
    <w:rsid w:val="055406CA"/>
    <w:rsid w:val="056F2E0E"/>
    <w:rsid w:val="057E12A3"/>
    <w:rsid w:val="05880374"/>
    <w:rsid w:val="058F1702"/>
    <w:rsid w:val="058F525E"/>
    <w:rsid w:val="05AF5900"/>
    <w:rsid w:val="05B80C59"/>
    <w:rsid w:val="05DD1488"/>
    <w:rsid w:val="05DE7F94"/>
    <w:rsid w:val="05E530D0"/>
    <w:rsid w:val="05F652DD"/>
    <w:rsid w:val="06043E9E"/>
    <w:rsid w:val="060A0E5F"/>
    <w:rsid w:val="063A665B"/>
    <w:rsid w:val="063D115E"/>
    <w:rsid w:val="06547305"/>
    <w:rsid w:val="065546FA"/>
    <w:rsid w:val="0659586C"/>
    <w:rsid w:val="065A1D10"/>
    <w:rsid w:val="066761DB"/>
    <w:rsid w:val="069936B8"/>
    <w:rsid w:val="06A0349B"/>
    <w:rsid w:val="06B37672"/>
    <w:rsid w:val="06B52CE3"/>
    <w:rsid w:val="06B64A6C"/>
    <w:rsid w:val="06E23AB3"/>
    <w:rsid w:val="07117EF5"/>
    <w:rsid w:val="07165423"/>
    <w:rsid w:val="073360BD"/>
    <w:rsid w:val="077E013B"/>
    <w:rsid w:val="0788465B"/>
    <w:rsid w:val="078A2181"/>
    <w:rsid w:val="079B438E"/>
    <w:rsid w:val="07AF1BE8"/>
    <w:rsid w:val="07B216D8"/>
    <w:rsid w:val="07BB4F31"/>
    <w:rsid w:val="07BC2556"/>
    <w:rsid w:val="07C17B6D"/>
    <w:rsid w:val="07C532C2"/>
    <w:rsid w:val="07CF4038"/>
    <w:rsid w:val="07D23B28"/>
    <w:rsid w:val="07EC6998"/>
    <w:rsid w:val="0808579C"/>
    <w:rsid w:val="080D2DB2"/>
    <w:rsid w:val="08157B45"/>
    <w:rsid w:val="081B727D"/>
    <w:rsid w:val="082F0F7A"/>
    <w:rsid w:val="083640B7"/>
    <w:rsid w:val="083E691D"/>
    <w:rsid w:val="084560A8"/>
    <w:rsid w:val="0849203C"/>
    <w:rsid w:val="08494B4C"/>
    <w:rsid w:val="08500D65"/>
    <w:rsid w:val="086C5D2B"/>
    <w:rsid w:val="08844E22"/>
    <w:rsid w:val="08907C6B"/>
    <w:rsid w:val="08A84A33"/>
    <w:rsid w:val="08D12032"/>
    <w:rsid w:val="08D613F6"/>
    <w:rsid w:val="08D8516E"/>
    <w:rsid w:val="08DD09D6"/>
    <w:rsid w:val="08E94619"/>
    <w:rsid w:val="0923288D"/>
    <w:rsid w:val="094B1DE4"/>
    <w:rsid w:val="095E69C2"/>
    <w:rsid w:val="09715B6E"/>
    <w:rsid w:val="09736C45"/>
    <w:rsid w:val="09750C0F"/>
    <w:rsid w:val="097924AD"/>
    <w:rsid w:val="09880942"/>
    <w:rsid w:val="09975029"/>
    <w:rsid w:val="09B259BF"/>
    <w:rsid w:val="09DA6CC4"/>
    <w:rsid w:val="09E71B0D"/>
    <w:rsid w:val="09EC23D5"/>
    <w:rsid w:val="09FC4E8C"/>
    <w:rsid w:val="09FD689E"/>
    <w:rsid w:val="0A067AB9"/>
    <w:rsid w:val="0A193C90"/>
    <w:rsid w:val="0A2A19F9"/>
    <w:rsid w:val="0A2B2319"/>
    <w:rsid w:val="0A4F1460"/>
    <w:rsid w:val="0A743EC7"/>
    <w:rsid w:val="0A8530D4"/>
    <w:rsid w:val="0A9A6B7F"/>
    <w:rsid w:val="0AC91212"/>
    <w:rsid w:val="0AD35BED"/>
    <w:rsid w:val="0B1F0E32"/>
    <w:rsid w:val="0B2B3C7B"/>
    <w:rsid w:val="0B3B3792"/>
    <w:rsid w:val="0B464611"/>
    <w:rsid w:val="0B4C599F"/>
    <w:rsid w:val="0B696551"/>
    <w:rsid w:val="0B7F3FC7"/>
    <w:rsid w:val="0B8B296C"/>
    <w:rsid w:val="0BC47C2C"/>
    <w:rsid w:val="0BCD6AE0"/>
    <w:rsid w:val="0BE07B1B"/>
    <w:rsid w:val="0BED2CDE"/>
    <w:rsid w:val="0C1E733C"/>
    <w:rsid w:val="0C3C77C2"/>
    <w:rsid w:val="0C4843B9"/>
    <w:rsid w:val="0C7D0506"/>
    <w:rsid w:val="0C7D4058"/>
    <w:rsid w:val="0C8963E1"/>
    <w:rsid w:val="0C940276"/>
    <w:rsid w:val="0CA21D1B"/>
    <w:rsid w:val="0CBE467B"/>
    <w:rsid w:val="0CCF4ADA"/>
    <w:rsid w:val="0CD1749B"/>
    <w:rsid w:val="0CEE6D0E"/>
    <w:rsid w:val="0D132C19"/>
    <w:rsid w:val="0D1D5845"/>
    <w:rsid w:val="0D256CBB"/>
    <w:rsid w:val="0D29243C"/>
    <w:rsid w:val="0D4B36E1"/>
    <w:rsid w:val="0D6B65B1"/>
    <w:rsid w:val="0D894C89"/>
    <w:rsid w:val="0D8B586B"/>
    <w:rsid w:val="0D9A0C44"/>
    <w:rsid w:val="0DA27AF9"/>
    <w:rsid w:val="0DBF4B4E"/>
    <w:rsid w:val="0DD43EF0"/>
    <w:rsid w:val="0DD84FC2"/>
    <w:rsid w:val="0DD95C10"/>
    <w:rsid w:val="0DE85E53"/>
    <w:rsid w:val="0E407A3D"/>
    <w:rsid w:val="0E66162E"/>
    <w:rsid w:val="0E666D78"/>
    <w:rsid w:val="0E6B438E"/>
    <w:rsid w:val="0E72396F"/>
    <w:rsid w:val="0E752E33"/>
    <w:rsid w:val="0E7616B1"/>
    <w:rsid w:val="0E7B501C"/>
    <w:rsid w:val="0E8370C7"/>
    <w:rsid w:val="0E883192"/>
    <w:rsid w:val="0EA224A6"/>
    <w:rsid w:val="0EB16245"/>
    <w:rsid w:val="0EC046DA"/>
    <w:rsid w:val="0ED71E5B"/>
    <w:rsid w:val="0EE01CCA"/>
    <w:rsid w:val="0EE04D7C"/>
    <w:rsid w:val="0F075539"/>
    <w:rsid w:val="0F203C3E"/>
    <w:rsid w:val="0F2E3D3A"/>
    <w:rsid w:val="0F346E76"/>
    <w:rsid w:val="0F6C2FF3"/>
    <w:rsid w:val="0F8676D2"/>
    <w:rsid w:val="0F916077"/>
    <w:rsid w:val="0FB104C7"/>
    <w:rsid w:val="0FB83603"/>
    <w:rsid w:val="0FBB3A0D"/>
    <w:rsid w:val="0FEB4D67"/>
    <w:rsid w:val="0FEE5277"/>
    <w:rsid w:val="0FFA3C1C"/>
    <w:rsid w:val="0FFC3E38"/>
    <w:rsid w:val="10066A65"/>
    <w:rsid w:val="10141507"/>
    <w:rsid w:val="101E3DAE"/>
    <w:rsid w:val="10264A11"/>
    <w:rsid w:val="102962AF"/>
    <w:rsid w:val="104F3F68"/>
    <w:rsid w:val="107F12E0"/>
    <w:rsid w:val="108F25B6"/>
    <w:rsid w:val="10945E1E"/>
    <w:rsid w:val="10B71B0D"/>
    <w:rsid w:val="10C009C2"/>
    <w:rsid w:val="10CB7366"/>
    <w:rsid w:val="10D12BCF"/>
    <w:rsid w:val="10D4446D"/>
    <w:rsid w:val="10F606A3"/>
    <w:rsid w:val="10FD1C16"/>
    <w:rsid w:val="11074842"/>
    <w:rsid w:val="110A4333"/>
    <w:rsid w:val="11447845"/>
    <w:rsid w:val="115A7068"/>
    <w:rsid w:val="11621A79"/>
    <w:rsid w:val="11687668"/>
    <w:rsid w:val="117738F9"/>
    <w:rsid w:val="117A14B8"/>
    <w:rsid w:val="119767EA"/>
    <w:rsid w:val="11A402E3"/>
    <w:rsid w:val="11AA3420"/>
    <w:rsid w:val="11C049F1"/>
    <w:rsid w:val="11C41482"/>
    <w:rsid w:val="11D81D3B"/>
    <w:rsid w:val="11EE77B0"/>
    <w:rsid w:val="122250B4"/>
    <w:rsid w:val="123258EF"/>
    <w:rsid w:val="12413D84"/>
    <w:rsid w:val="12486EC1"/>
    <w:rsid w:val="12612F32"/>
    <w:rsid w:val="12635AA8"/>
    <w:rsid w:val="126D2DCB"/>
    <w:rsid w:val="126E269F"/>
    <w:rsid w:val="12751495"/>
    <w:rsid w:val="12767ED2"/>
    <w:rsid w:val="127B54E8"/>
    <w:rsid w:val="128B1CD8"/>
    <w:rsid w:val="128D0D77"/>
    <w:rsid w:val="12AA7B7B"/>
    <w:rsid w:val="12B07463"/>
    <w:rsid w:val="12C02EFB"/>
    <w:rsid w:val="12E21B6B"/>
    <w:rsid w:val="12E52961"/>
    <w:rsid w:val="12F708E7"/>
    <w:rsid w:val="12FA35D5"/>
    <w:rsid w:val="130C25E4"/>
    <w:rsid w:val="130F4137"/>
    <w:rsid w:val="13131232"/>
    <w:rsid w:val="1318617E"/>
    <w:rsid w:val="132F6B1C"/>
    <w:rsid w:val="133E02C4"/>
    <w:rsid w:val="134753CA"/>
    <w:rsid w:val="135F0966"/>
    <w:rsid w:val="13857CA0"/>
    <w:rsid w:val="13893C35"/>
    <w:rsid w:val="13937257"/>
    <w:rsid w:val="139A199E"/>
    <w:rsid w:val="13A520F1"/>
    <w:rsid w:val="13AA5959"/>
    <w:rsid w:val="13B32A60"/>
    <w:rsid w:val="13E96481"/>
    <w:rsid w:val="13F56BD4"/>
    <w:rsid w:val="13FF5CA5"/>
    <w:rsid w:val="140E413A"/>
    <w:rsid w:val="14151024"/>
    <w:rsid w:val="142676D5"/>
    <w:rsid w:val="142851FC"/>
    <w:rsid w:val="14290F74"/>
    <w:rsid w:val="14293EAC"/>
    <w:rsid w:val="145A2206"/>
    <w:rsid w:val="146A5814"/>
    <w:rsid w:val="14720225"/>
    <w:rsid w:val="14771CDF"/>
    <w:rsid w:val="147815B3"/>
    <w:rsid w:val="14983A03"/>
    <w:rsid w:val="14AC4637"/>
    <w:rsid w:val="14BB6147"/>
    <w:rsid w:val="14F421F0"/>
    <w:rsid w:val="15015A4D"/>
    <w:rsid w:val="15033573"/>
    <w:rsid w:val="15035054"/>
    <w:rsid w:val="1505633A"/>
    <w:rsid w:val="1508448C"/>
    <w:rsid w:val="15107A3E"/>
    <w:rsid w:val="1537146E"/>
    <w:rsid w:val="15453B8B"/>
    <w:rsid w:val="15593193"/>
    <w:rsid w:val="155E69FB"/>
    <w:rsid w:val="15634011"/>
    <w:rsid w:val="156A35F2"/>
    <w:rsid w:val="15722CF6"/>
    <w:rsid w:val="157E709D"/>
    <w:rsid w:val="158C247F"/>
    <w:rsid w:val="15962639"/>
    <w:rsid w:val="15A9411A"/>
    <w:rsid w:val="15D171CD"/>
    <w:rsid w:val="15E11B06"/>
    <w:rsid w:val="15E50ECA"/>
    <w:rsid w:val="15EB4733"/>
    <w:rsid w:val="161B0A6D"/>
    <w:rsid w:val="16351E52"/>
    <w:rsid w:val="163C4F8E"/>
    <w:rsid w:val="16685D83"/>
    <w:rsid w:val="16797F90"/>
    <w:rsid w:val="167D1103"/>
    <w:rsid w:val="16832BBD"/>
    <w:rsid w:val="169F72CB"/>
    <w:rsid w:val="16D60FF9"/>
    <w:rsid w:val="16DE1BA1"/>
    <w:rsid w:val="16FF7CC7"/>
    <w:rsid w:val="171C6B6E"/>
    <w:rsid w:val="17263548"/>
    <w:rsid w:val="175A0C63"/>
    <w:rsid w:val="17742506"/>
    <w:rsid w:val="17914E66"/>
    <w:rsid w:val="17B943BD"/>
    <w:rsid w:val="17C074F9"/>
    <w:rsid w:val="17C3523B"/>
    <w:rsid w:val="17D52A38"/>
    <w:rsid w:val="17DC4C00"/>
    <w:rsid w:val="17DD00AB"/>
    <w:rsid w:val="17E551B2"/>
    <w:rsid w:val="17EE0FBD"/>
    <w:rsid w:val="17EF6030"/>
    <w:rsid w:val="17EF7DDE"/>
    <w:rsid w:val="181B6E25"/>
    <w:rsid w:val="18475E6C"/>
    <w:rsid w:val="187A731C"/>
    <w:rsid w:val="187E258F"/>
    <w:rsid w:val="188350F6"/>
    <w:rsid w:val="18846779"/>
    <w:rsid w:val="18B76B4E"/>
    <w:rsid w:val="18CE5C88"/>
    <w:rsid w:val="18D019BE"/>
    <w:rsid w:val="18D557D6"/>
    <w:rsid w:val="18DD20B7"/>
    <w:rsid w:val="1902223E"/>
    <w:rsid w:val="190D2C12"/>
    <w:rsid w:val="190F0738"/>
    <w:rsid w:val="19102702"/>
    <w:rsid w:val="19141836"/>
    <w:rsid w:val="1935389B"/>
    <w:rsid w:val="19457CED"/>
    <w:rsid w:val="194B7296"/>
    <w:rsid w:val="194D74B2"/>
    <w:rsid w:val="195B397D"/>
    <w:rsid w:val="196565AA"/>
    <w:rsid w:val="19670543"/>
    <w:rsid w:val="19A52E4A"/>
    <w:rsid w:val="19E00326"/>
    <w:rsid w:val="1A057D8D"/>
    <w:rsid w:val="1A46187F"/>
    <w:rsid w:val="1A584B63"/>
    <w:rsid w:val="1A5F124B"/>
    <w:rsid w:val="1A706AF8"/>
    <w:rsid w:val="1A98650B"/>
    <w:rsid w:val="1AA2738A"/>
    <w:rsid w:val="1ACC4407"/>
    <w:rsid w:val="1AD35795"/>
    <w:rsid w:val="1AF04599"/>
    <w:rsid w:val="1B087B35"/>
    <w:rsid w:val="1B100797"/>
    <w:rsid w:val="1B1F09DB"/>
    <w:rsid w:val="1B324BB2"/>
    <w:rsid w:val="1B395C34"/>
    <w:rsid w:val="1B446693"/>
    <w:rsid w:val="1B4A0140"/>
    <w:rsid w:val="1B55264E"/>
    <w:rsid w:val="1B600AE0"/>
    <w:rsid w:val="1B6A434C"/>
    <w:rsid w:val="1B8076CB"/>
    <w:rsid w:val="1B852F33"/>
    <w:rsid w:val="1BA36F23"/>
    <w:rsid w:val="1BAA0105"/>
    <w:rsid w:val="1BC03F6C"/>
    <w:rsid w:val="1BC11A92"/>
    <w:rsid w:val="1BD23C9F"/>
    <w:rsid w:val="1BDB6FF7"/>
    <w:rsid w:val="1BDE2644"/>
    <w:rsid w:val="1BDE43F2"/>
    <w:rsid w:val="1BE207E3"/>
    <w:rsid w:val="1BE614F8"/>
    <w:rsid w:val="1BF105C9"/>
    <w:rsid w:val="1BF60B6E"/>
    <w:rsid w:val="1BF956CF"/>
    <w:rsid w:val="1BFD4BFD"/>
    <w:rsid w:val="1BFE6842"/>
    <w:rsid w:val="1C27223D"/>
    <w:rsid w:val="1C5D5C5E"/>
    <w:rsid w:val="1C6568C1"/>
    <w:rsid w:val="1C672639"/>
    <w:rsid w:val="1C7B24E2"/>
    <w:rsid w:val="1C85638D"/>
    <w:rsid w:val="1CBA6C0D"/>
    <w:rsid w:val="1CC57360"/>
    <w:rsid w:val="1CC730D8"/>
    <w:rsid w:val="1CD203FA"/>
    <w:rsid w:val="1CD37CCF"/>
    <w:rsid w:val="1CD852E5"/>
    <w:rsid w:val="1CEB6DC6"/>
    <w:rsid w:val="1CFC7225"/>
    <w:rsid w:val="1CFF6AA9"/>
    <w:rsid w:val="1D04257E"/>
    <w:rsid w:val="1D063C00"/>
    <w:rsid w:val="1D167BBB"/>
    <w:rsid w:val="1D274D79"/>
    <w:rsid w:val="1D385D84"/>
    <w:rsid w:val="1D3B2760"/>
    <w:rsid w:val="1D5D67D9"/>
    <w:rsid w:val="1D6A06BD"/>
    <w:rsid w:val="1D726DCB"/>
    <w:rsid w:val="1D7C130D"/>
    <w:rsid w:val="1D7E7C3A"/>
    <w:rsid w:val="1D81772B"/>
    <w:rsid w:val="1D8F62F3"/>
    <w:rsid w:val="1D970CFC"/>
    <w:rsid w:val="1DA311B5"/>
    <w:rsid w:val="1DA5543D"/>
    <w:rsid w:val="1DA8115B"/>
    <w:rsid w:val="1DB4365C"/>
    <w:rsid w:val="1DB7314C"/>
    <w:rsid w:val="1DC1221D"/>
    <w:rsid w:val="1DCF0496"/>
    <w:rsid w:val="1DDE2DCF"/>
    <w:rsid w:val="1DEC729A"/>
    <w:rsid w:val="1DED3012"/>
    <w:rsid w:val="1DF51867"/>
    <w:rsid w:val="1E1B7B7F"/>
    <w:rsid w:val="1E2017E9"/>
    <w:rsid w:val="1E213C55"/>
    <w:rsid w:val="1E2C1BBB"/>
    <w:rsid w:val="1E2C4CBC"/>
    <w:rsid w:val="1E391DB3"/>
    <w:rsid w:val="1E61736E"/>
    <w:rsid w:val="1E682698"/>
    <w:rsid w:val="1E8A1ABE"/>
    <w:rsid w:val="1E8A260F"/>
    <w:rsid w:val="1E8C664B"/>
    <w:rsid w:val="1EAE454F"/>
    <w:rsid w:val="1EB36FD8"/>
    <w:rsid w:val="1EC75611"/>
    <w:rsid w:val="1ED33FB6"/>
    <w:rsid w:val="1EDC730E"/>
    <w:rsid w:val="1F0C67C0"/>
    <w:rsid w:val="1F23309C"/>
    <w:rsid w:val="1F552C1D"/>
    <w:rsid w:val="1F6115C2"/>
    <w:rsid w:val="1F642DCD"/>
    <w:rsid w:val="1F6454B6"/>
    <w:rsid w:val="1F734E81"/>
    <w:rsid w:val="1F7E2174"/>
    <w:rsid w:val="1F875CE6"/>
    <w:rsid w:val="1F896D6A"/>
    <w:rsid w:val="1F8B4890"/>
    <w:rsid w:val="1FA3721B"/>
    <w:rsid w:val="1FB042F7"/>
    <w:rsid w:val="1FB931AC"/>
    <w:rsid w:val="1FBF0B48"/>
    <w:rsid w:val="1FC55FF4"/>
    <w:rsid w:val="1FE3647B"/>
    <w:rsid w:val="1FEB532F"/>
    <w:rsid w:val="20054643"/>
    <w:rsid w:val="200C50E2"/>
    <w:rsid w:val="200D1749"/>
    <w:rsid w:val="20140D2A"/>
    <w:rsid w:val="201605FE"/>
    <w:rsid w:val="202167A3"/>
    <w:rsid w:val="203171E6"/>
    <w:rsid w:val="203E1903"/>
    <w:rsid w:val="20467A11"/>
    <w:rsid w:val="204F1D62"/>
    <w:rsid w:val="20670E5A"/>
    <w:rsid w:val="20693185"/>
    <w:rsid w:val="206D3F96"/>
    <w:rsid w:val="206F41B2"/>
    <w:rsid w:val="208878DC"/>
    <w:rsid w:val="20983709"/>
    <w:rsid w:val="20992FDD"/>
    <w:rsid w:val="20AC0F62"/>
    <w:rsid w:val="20C462AC"/>
    <w:rsid w:val="20CE2C87"/>
    <w:rsid w:val="20DF5AB7"/>
    <w:rsid w:val="20EE157B"/>
    <w:rsid w:val="20EF0E4F"/>
    <w:rsid w:val="20FC2CB4"/>
    <w:rsid w:val="20FC360C"/>
    <w:rsid w:val="2100305C"/>
    <w:rsid w:val="210963B5"/>
    <w:rsid w:val="21156B08"/>
    <w:rsid w:val="2116462E"/>
    <w:rsid w:val="211803A6"/>
    <w:rsid w:val="212B632B"/>
    <w:rsid w:val="21366A7E"/>
    <w:rsid w:val="213A656E"/>
    <w:rsid w:val="214116AB"/>
    <w:rsid w:val="2144119B"/>
    <w:rsid w:val="21621621"/>
    <w:rsid w:val="21635AC5"/>
    <w:rsid w:val="21731A80"/>
    <w:rsid w:val="21957C48"/>
    <w:rsid w:val="219713C9"/>
    <w:rsid w:val="21B10818"/>
    <w:rsid w:val="21CF3C89"/>
    <w:rsid w:val="21D544E9"/>
    <w:rsid w:val="21D70DF2"/>
    <w:rsid w:val="21DF2C72"/>
    <w:rsid w:val="21EB5D7A"/>
    <w:rsid w:val="21F26E49"/>
    <w:rsid w:val="2266366D"/>
    <w:rsid w:val="22721D38"/>
    <w:rsid w:val="227930C6"/>
    <w:rsid w:val="228201CD"/>
    <w:rsid w:val="22833F45"/>
    <w:rsid w:val="22A27D04"/>
    <w:rsid w:val="22AF5101"/>
    <w:rsid w:val="22B10AB2"/>
    <w:rsid w:val="22CF718A"/>
    <w:rsid w:val="22F2173B"/>
    <w:rsid w:val="231352C9"/>
    <w:rsid w:val="235002CB"/>
    <w:rsid w:val="23621DAC"/>
    <w:rsid w:val="236B0C61"/>
    <w:rsid w:val="2376433B"/>
    <w:rsid w:val="237D267E"/>
    <w:rsid w:val="23AB5501"/>
    <w:rsid w:val="23CE11F0"/>
    <w:rsid w:val="23E30AC5"/>
    <w:rsid w:val="24092228"/>
    <w:rsid w:val="244F40DF"/>
    <w:rsid w:val="2459425E"/>
    <w:rsid w:val="246D27B7"/>
    <w:rsid w:val="24831FDA"/>
    <w:rsid w:val="249D12EE"/>
    <w:rsid w:val="24A87C93"/>
    <w:rsid w:val="24AA3A0B"/>
    <w:rsid w:val="24CF6FCD"/>
    <w:rsid w:val="24E0567E"/>
    <w:rsid w:val="24FE78B3"/>
    <w:rsid w:val="250E5D48"/>
    <w:rsid w:val="252A68FA"/>
    <w:rsid w:val="252B4B4C"/>
    <w:rsid w:val="253D03DB"/>
    <w:rsid w:val="2551032A"/>
    <w:rsid w:val="25796E5D"/>
    <w:rsid w:val="257D2ECD"/>
    <w:rsid w:val="25AE12D9"/>
    <w:rsid w:val="25C12DBA"/>
    <w:rsid w:val="25C14172"/>
    <w:rsid w:val="25D54AB7"/>
    <w:rsid w:val="25DA4D4D"/>
    <w:rsid w:val="25DC4098"/>
    <w:rsid w:val="25E76599"/>
    <w:rsid w:val="25E82A3D"/>
    <w:rsid w:val="25F25669"/>
    <w:rsid w:val="25FC61E4"/>
    <w:rsid w:val="25FD7B6A"/>
    <w:rsid w:val="26123616"/>
    <w:rsid w:val="261A0C88"/>
    <w:rsid w:val="264D0AF2"/>
    <w:rsid w:val="265E685B"/>
    <w:rsid w:val="267B5E32"/>
    <w:rsid w:val="26B40B71"/>
    <w:rsid w:val="26C30DB4"/>
    <w:rsid w:val="26F05FA5"/>
    <w:rsid w:val="270D0281"/>
    <w:rsid w:val="271433BD"/>
    <w:rsid w:val="27181100"/>
    <w:rsid w:val="27286E69"/>
    <w:rsid w:val="273B4DEE"/>
    <w:rsid w:val="27557B9B"/>
    <w:rsid w:val="275A34C6"/>
    <w:rsid w:val="27734588"/>
    <w:rsid w:val="27753284"/>
    <w:rsid w:val="277F2F2D"/>
    <w:rsid w:val="279938C3"/>
    <w:rsid w:val="27AC7A9A"/>
    <w:rsid w:val="27B150B0"/>
    <w:rsid w:val="27B30E28"/>
    <w:rsid w:val="27B34984"/>
    <w:rsid w:val="27B819DE"/>
    <w:rsid w:val="27CE5C62"/>
    <w:rsid w:val="27D019DA"/>
    <w:rsid w:val="27D8088F"/>
    <w:rsid w:val="27E92A9C"/>
    <w:rsid w:val="27ED27C0"/>
    <w:rsid w:val="27F05BD9"/>
    <w:rsid w:val="28090A48"/>
    <w:rsid w:val="28137707"/>
    <w:rsid w:val="281E2746"/>
    <w:rsid w:val="28445F24"/>
    <w:rsid w:val="284657F9"/>
    <w:rsid w:val="28732366"/>
    <w:rsid w:val="28884063"/>
    <w:rsid w:val="28AD5878"/>
    <w:rsid w:val="28BB1CCD"/>
    <w:rsid w:val="28CF1C92"/>
    <w:rsid w:val="28D725C7"/>
    <w:rsid w:val="28EC45F2"/>
    <w:rsid w:val="29037B8D"/>
    <w:rsid w:val="290D1026"/>
    <w:rsid w:val="291C47AB"/>
    <w:rsid w:val="292D0766"/>
    <w:rsid w:val="295201CD"/>
    <w:rsid w:val="29581C87"/>
    <w:rsid w:val="29842A7C"/>
    <w:rsid w:val="29854F98"/>
    <w:rsid w:val="299802D6"/>
    <w:rsid w:val="299B6018"/>
    <w:rsid w:val="29C27101"/>
    <w:rsid w:val="29C63095"/>
    <w:rsid w:val="29CB6216"/>
    <w:rsid w:val="29E4351B"/>
    <w:rsid w:val="2A0B0AA8"/>
    <w:rsid w:val="2A1F66F8"/>
    <w:rsid w:val="2A3049B2"/>
    <w:rsid w:val="2A3D0E7D"/>
    <w:rsid w:val="2A41271B"/>
    <w:rsid w:val="2A461AE0"/>
    <w:rsid w:val="2A585F26"/>
    <w:rsid w:val="2A5961EA"/>
    <w:rsid w:val="2A7A3E7F"/>
    <w:rsid w:val="2A7A6F90"/>
    <w:rsid w:val="2A7D127A"/>
    <w:rsid w:val="2A8602B7"/>
    <w:rsid w:val="2A924D25"/>
    <w:rsid w:val="2A9F7442"/>
    <w:rsid w:val="2AAA4765"/>
    <w:rsid w:val="2AB70C30"/>
    <w:rsid w:val="2ABE3D6C"/>
    <w:rsid w:val="2AEB2687"/>
    <w:rsid w:val="2AF53506"/>
    <w:rsid w:val="2B112AFD"/>
    <w:rsid w:val="2B125E66"/>
    <w:rsid w:val="2B193698"/>
    <w:rsid w:val="2B255B99"/>
    <w:rsid w:val="2B275DB5"/>
    <w:rsid w:val="2B4C0426"/>
    <w:rsid w:val="2B604E23"/>
    <w:rsid w:val="2B683CD8"/>
    <w:rsid w:val="2B9176D3"/>
    <w:rsid w:val="2BB62C95"/>
    <w:rsid w:val="2BC5143B"/>
    <w:rsid w:val="2BC929C8"/>
    <w:rsid w:val="2BCC7BEB"/>
    <w:rsid w:val="2BF437BD"/>
    <w:rsid w:val="2BFD08C4"/>
    <w:rsid w:val="2C02412C"/>
    <w:rsid w:val="2C2045B2"/>
    <w:rsid w:val="2C210A56"/>
    <w:rsid w:val="2C2E3173"/>
    <w:rsid w:val="2C3F3DB6"/>
    <w:rsid w:val="2C4B162F"/>
    <w:rsid w:val="2C536736"/>
    <w:rsid w:val="2C5C571B"/>
    <w:rsid w:val="2C680433"/>
    <w:rsid w:val="2C842D93"/>
    <w:rsid w:val="2C8763E0"/>
    <w:rsid w:val="2CB25B52"/>
    <w:rsid w:val="2CCB191D"/>
    <w:rsid w:val="2CD31625"/>
    <w:rsid w:val="2CDC672B"/>
    <w:rsid w:val="2CF9108B"/>
    <w:rsid w:val="2D1660E1"/>
    <w:rsid w:val="2D2D342B"/>
    <w:rsid w:val="2D355E3C"/>
    <w:rsid w:val="2D430559"/>
    <w:rsid w:val="2D572256"/>
    <w:rsid w:val="2D630BFB"/>
    <w:rsid w:val="2D67693D"/>
    <w:rsid w:val="2D8452AB"/>
    <w:rsid w:val="2D8A7365"/>
    <w:rsid w:val="2D8E5D42"/>
    <w:rsid w:val="2DA90D03"/>
    <w:rsid w:val="2DC66C82"/>
    <w:rsid w:val="2E152640"/>
    <w:rsid w:val="2E277E7A"/>
    <w:rsid w:val="2E334A71"/>
    <w:rsid w:val="2E446A7D"/>
    <w:rsid w:val="2E516CA5"/>
    <w:rsid w:val="2E580034"/>
    <w:rsid w:val="2E5E648F"/>
    <w:rsid w:val="2E7D7A9A"/>
    <w:rsid w:val="2E8928E3"/>
    <w:rsid w:val="2EAB17DE"/>
    <w:rsid w:val="2EAB2859"/>
    <w:rsid w:val="2EB931C8"/>
    <w:rsid w:val="2EDD678B"/>
    <w:rsid w:val="2EF20488"/>
    <w:rsid w:val="2F087CAC"/>
    <w:rsid w:val="2F1209C9"/>
    <w:rsid w:val="2F230642"/>
    <w:rsid w:val="2F4963B6"/>
    <w:rsid w:val="2F577040"/>
    <w:rsid w:val="2F590507"/>
    <w:rsid w:val="2F69244D"/>
    <w:rsid w:val="2F8C4439"/>
    <w:rsid w:val="2F996B56"/>
    <w:rsid w:val="2FB120F1"/>
    <w:rsid w:val="2FBF2301"/>
    <w:rsid w:val="2FC121F0"/>
    <w:rsid w:val="2FCE2CA3"/>
    <w:rsid w:val="2FCF07C9"/>
    <w:rsid w:val="2FEF49C8"/>
    <w:rsid w:val="2FF41FDE"/>
    <w:rsid w:val="301C610F"/>
    <w:rsid w:val="30376383"/>
    <w:rsid w:val="3065400D"/>
    <w:rsid w:val="30813272"/>
    <w:rsid w:val="308C2216"/>
    <w:rsid w:val="3091782D"/>
    <w:rsid w:val="309317F7"/>
    <w:rsid w:val="30B04157"/>
    <w:rsid w:val="30B359F5"/>
    <w:rsid w:val="30BD4AC6"/>
    <w:rsid w:val="30C96FC7"/>
    <w:rsid w:val="30CE282F"/>
    <w:rsid w:val="30D32CE3"/>
    <w:rsid w:val="30DC5834"/>
    <w:rsid w:val="30E67B79"/>
    <w:rsid w:val="30EE4C7F"/>
    <w:rsid w:val="30FD4EC2"/>
    <w:rsid w:val="312D1C4B"/>
    <w:rsid w:val="3140197F"/>
    <w:rsid w:val="316136A3"/>
    <w:rsid w:val="316867E0"/>
    <w:rsid w:val="31857392"/>
    <w:rsid w:val="3186310A"/>
    <w:rsid w:val="319A0963"/>
    <w:rsid w:val="31B42060"/>
    <w:rsid w:val="31B47C77"/>
    <w:rsid w:val="31C53C32"/>
    <w:rsid w:val="31D40319"/>
    <w:rsid w:val="31E0281A"/>
    <w:rsid w:val="31F52C3B"/>
    <w:rsid w:val="31FF1D26"/>
    <w:rsid w:val="32152283"/>
    <w:rsid w:val="3216448E"/>
    <w:rsid w:val="32250F91"/>
    <w:rsid w:val="32274B8B"/>
    <w:rsid w:val="322E5C7B"/>
    <w:rsid w:val="3236068C"/>
    <w:rsid w:val="32471254"/>
    <w:rsid w:val="324803BF"/>
    <w:rsid w:val="325F23CF"/>
    <w:rsid w:val="326C4143"/>
    <w:rsid w:val="32717916"/>
    <w:rsid w:val="32747406"/>
    <w:rsid w:val="32AC094E"/>
    <w:rsid w:val="32B75C71"/>
    <w:rsid w:val="32BB5035"/>
    <w:rsid w:val="32C74E7A"/>
    <w:rsid w:val="32E77BD8"/>
    <w:rsid w:val="32EB46F7"/>
    <w:rsid w:val="32EB591A"/>
    <w:rsid w:val="32EC38C5"/>
    <w:rsid w:val="32F9796A"/>
    <w:rsid w:val="32FD73FC"/>
    <w:rsid w:val="33121344"/>
    <w:rsid w:val="33150BE9"/>
    <w:rsid w:val="3328091C"/>
    <w:rsid w:val="3352267B"/>
    <w:rsid w:val="33572FB0"/>
    <w:rsid w:val="335C05EB"/>
    <w:rsid w:val="338673F1"/>
    <w:rsid w:val="338A1331"/>
    <w:rsid w:val="338A1C5E"/>
    <w:rsid w:val="33A17044"/>
    <w:rsid w:val="33AD7074"/>
    <w:rsid w:val="33B14536"/>
    <w:rsid w:val="33B201E6"/>
    <w:rsid w:val="33BB353F"/>
    <w:rsid w:val="33C125DB"/>
    <w:rsid w:val="33C87A09"/>
    <w:rsid w:val="33E12879"/>
    <w:rsid w:val="34270BD4"/>
    <w:rsid w:val="34390907"/>
    <w:rsid w:val="343A368F"/>
    <w:rsid w:val="344F012B"/>
    <w:rsid w:val="34586FDF"/>
    <w:rsid w:val="345E3ECA"/>
    <w:rsid w:val="346911EC"/>
    <w:rsid w:val="347656B7"/>
    <w:rsid w:val="348F22D5"/>
    <w:rsid w:val="34AF4725"/>
    <w:rsid w:val="34B850AF"/>
    <w:rsid w:val="34BC3317"/>
    <w:rsid w:val="34BD32E6"/>
    <w:rsid w:val="34D128EE"/>
    <w:rsid w:val="34D15BD8"/>
    <w:rsid w:val="34DB551B"/>
    <w:rsid w:val="34E645EB"/>
    <w:rsid w:val="35073412"/>
    <w:rsid w:val="35246EC1"/>
    <w:rsid w:val="35305866"/>
    <w:rsid w:val="353F1DF5"/>
    <w:rsid w:val="354B08F2"/>
    <w:rsid w:val="354B444E"/>
    <w:rsid w:val="355552CD"/>
    <w:rsid w:val="35780FBB"/>
    <w:rsid w:val="358B0CEF"/>
    <w:rsid w:val="359E01CA"/>
    <w:rsid w:val="35B9585C"/>
    <w:rsid w:val="35C91817"/>
    <w:rsid w:val="35CD63CC"/>
    <w:rsid w:val="35D02BA5"/>
    <w:rsid w:val="360016DD"/>
    <w:rsid w:val="36341386"/>
    <w:rsid w:val="36394BEF"/>
    <w:rsid w:val="3641163C"/>
    <w:rsid w:val="366003CD"/>
    <w:rsid w:val="3679323D"/>
    <w:rsid w:val="36820344"/>
    <w:rsid w:val="368816D2"/>
    <w:rsid w:val="368A544A"/>
    <w:rsid w:val="36A24542"/>
    <w:rsid w:val="36AF4EB1"/>
    <w:rsid w:val="36C56482"/>
    <w:rsid w:val="36CA5847"/>
    <w:rsid w:val="36D36DF1"/>
    <w:rsid w:val="36D84407"/>
    <w:rsid w:val="36E36908"/>
    <w:rsid w:val="36EB2E81"/>
    <w:rsid w:val="36F56A14"/>
    <w:rsid w:val="36F7102F"/>
    <w:rsid w:val="37070849"/>
    <w:rsid w:val="371001AD"/>
    <w:rsid w:val="37103A97"/>
    <w:rsid w:val="37103BA1"/>
    <w:rsid w:val="37190CCB"/>
    <w:rsid w:val="371B0159"/>
    <w:rsid w:val="37204C66"/>
    <w:rsid w:val="37215DAE"/>
    <w:rsid w:val="37386C54"/>
    <w:rsid w:val="374B4BD9"/>
    <w:rsid w:val="374E0226"/>
    <w:rsid w:val="37B502A5"/>
    <w:rsid w:val="37C91822"/>
    <w:rsid w:val="37DC3A83"/>
    <w:rsid w:val="37DC7A31"/>
    <w:rsid w:val="37E071AC"/>
    <w:rsid w:val="37E15BDC"/>
    <w:rsid w:val="37F0752F"/>
    <w:rsid w:val="37F26B4C"/>
    <w:rsid w:val="37FC2378"/>
    <w:rsid w:val="38123949"/>
    <w:rsid w:val="382F44FB"/>
    <w:rsid w:val="384004B6"/>
    <w:rsid w:val="38485EC8"/>
    <w:rsid w:val="38635F53"/>
    <w:rsid w:val="38740160"/>
    <w:rsid w:val="38827389"/>
    <w:rsid w:val="3891486E"/>
    <w:rsid w:val="38D62BC9"/>
    <w:rsid w:val="38DB1F8D"/>
    <w:rsid w:val="38E075A3"/>
    <w:rsid w:val="38E55B74"/>
    <w:rsid w:val="38E56968"/>
    <w:rsid w:val="38E76B84"/>
    <w:rsid w:val="38F02E97"/>
    <w:rsid w:val="38F35529"/>
    <w:rsid w:val="391F4E2B"/>
    <w:rsid w:val="3927240F"/>
    <w:rsid w:val="39513FFD"/>
    <w:rsid w:val="395D0BF4"/>
    <w:rsid w:val="397A7F5A"/>
    <w:rsid w:val="397C551E"/>
    <w:rsid w:val="39904B26"/>
    <w:rsid w:val="39930ABA"/>
    <w:rsid w:val="399A59A4"/>
    <w:rsid w:val="399A5FDA"/>
    <w:rsid w:val="399F2FBB"/>
    <w:rsid w:val="39AE1450"/>
    <w:rsid w:val="39D2559E"/>
    <w:rsid w:val="39EB47E9"/>
    <w:rsid w:val="39F41558"/>
    <w:rsid w:val="3A00614F"/>
    <w:rsid w:val="3A051E5E"/>
    <w:rsid w:val="3A086DB2"/>
    <w:rsid w:val="3A105C66"/>
    <w:rsid w:val="3A1A1771"/>
    <w:rsid w:val="3A2B6F44"/>
    <w:rsid w:val="3A502507"/>
    <w:rsid w:val="3A52627F"/>
    <w:rsid w:val="3A6D2BC3"/>
    <w:rsid w:val="3A7A7584"/>
    <w:rsid w:val="3A8A3C6B"/>
    <w:rsid w:val="3AA27206"/>
    <w:rsid w:val="3AA52853"/>
    <w:rsid w:val="3AA765CB"/>
    <w:rsid w:val="3AA82343"/>
    <w:rsid w:val="3AAA1722"/>
    <w:rsid w:val="3AB900AC"/>
    <w:rsid w:val="3ABE56C2"/>
    <w:rsid w:val="3B1F2605"/>
    <w:rsid w:val="3B207931"/>
    <w:rsid w:val="3B252A87"/>
    <w:rsid w:val="3B295232"/>
    <w:rsid w:val="3B47390A"/>
    <w:rsid w:val="3B505360"/>
    <w:rsid w:val="3B5B3C9F"/>
    <w:rsid w:val="3B6C5B5B"/>
    <w:rsid w:val="3B7A783B"/>
    <w:rsid w:val="3B800BE6"/>
    <w:rsid w:val="3B8E1539"/>
    <w:rsid w:val="3B9823B7"/>
    <w:rsid w:val="3BB80364"/>
    <w:rsid w:val="3BBB7E54"/>
    <w:rsid w:val="3BC211E2"/>
    <w:rsid w:val="3BC27434"/>
    <w:rsid w:val="3BC814C0"/>
    <w:rsid w:val="3BE70C49"/>
    <w:rsid w:val="3BF375EE"/>
    <w:rsid w:val="3C0835FD"/>
    <w:rsid w:val="3C0B2B89"/>
    <w:rsid w:val="3C3A521C"/>
    <w:rsid w:val="3C3B249F"/>
    <w:rsid w:val="3C577B7C"/>
    <w:rsid w:val="3C666012"/>
    <w:rsid w:val="3C6D55F2"/>
    <w:rsid w:val="3C6F1D18"/>
    <w:rsid w:val="3C7C75E3"/>
    <w:rsid w:val="3C8D220B"/>
    <w:rsid w:val="3C9963E7"/>
    <w:rsid w:val="3C9B4B8A"/>
    <w:rsid w:val="3CAD1E92"/>
    <w:rsid w:val="3CB90837"/>
    <w:rsid w:val="3CBB45AF"/>
    <w:rsid w:val="3CC316B6"/>
    <w:rsid w:val="3CCA3AC8"/>
    <w:rsid w:val="3CCA47F2"/>
    <w:rsid w:val="3CD63197"/>
    <w:rsid w:val="3CEC23BE"/>
    <w:rsid w:val="3CF4186F"/>
    <w:rsid w:val="3D033860"/>
    <w:rsid w:val="3D0A4BEF"/>
    <w:rsid w:val="3D183C93"/>
    <w:rsid w:val="3D3305EA"/>
    <w:rsid w:val="3D5347E8"/>
    <w:rsid w:val="3D5D7415"/>
    <w:rsid w:val="3D6A38DF"/>
    <w:rsid w:val="3D757FB2"/>
    <w:rsid w:val="3D891FB8"/>
    <w:rsid w:val="3D954E00"/>
    <w:rsid w:val="3DAC056E"/>
    <w:rsid w:val="3DD1578A"/>
    <w:rsid w:val="3DD376D7"/>
    <w:rsid w:val="3DED5444"/>
    <w:rsid w:val="3DED69EA"/>
    <w:rsid w:val="3DF07218"/>
    <w:rsid w:val="3DF15DAF"/>
    <w:rsid w:val="3DF26BEC"/>
    <w:rsid w:val="3DF75699"/>
    <w:rsid w:val="3E045AE2"/>
    <w:rsid w:val="3E78202C"/>
    <w:rsid w:val="3E7A5DA4"/>
    <w:rsid w:val="3E8143B4"/>
    <w:rsid w:val="3E834C59"/>
    <w:rsid w:val="3E864749"/>
    <w:rsid w:val="3EA92122"/>
    <w:rsid w:val="3EAB3319"/>
    <w:rsid w:val="3EAB41B0"/>
    <w:rsid w:val="3EAF1EF2"/>
    <w:rsid w:val="3EC86B10"/>
    <w:rsid w:val="3ED74FA5"/>
    <w:rsid w:val="3EDE19DE"/>
    <w:rsid w:val="3EE6168C"/>
    <w:rsid w:val="3EFC4A0B"/>
    <w:rsid w:val="3F093B57"/>
    <w:rsid w:val="3F116709"/>
    <w:rsid w:val="3F20694C"/>
    <w:rsid w:val="3F2B709E"/>
    <w:rsid w:val="3F312907"/>
    <w:rsid w:val="3F422D66"/>
    <w:rsid w:val="3F56236D"/>
    <w:rsid w:val="3F5B5210"/>
    <w:rsid w:val="3F961308"/>
    <w:rsid w:val="3F980BD8"/>
    <w:rsid w:val="3FA21D9D"/>
    <w:rsid w:val="3FAC311E"/>
    <w:rsid w:val="3FBB48C6"/>
    <w:rsid w:val="3FD55988"/>
    <w:rsid w:val="3FE61943"/>
    <w:rsid w:val="3FF73B50"/>
    <w:rsid w:val="4004626D"/>
    <w:rsid w:val="4050645C"/>
    <w:rsid w:val="40530248"/>
    <w:rsid w:val="405513E3"/>
    <w:rsid w:val="405C7E57"/>
    <w:rsid w:val="405F5252"/>
    <w:rsid w:val="406B3BF6"/>
    <w:rsid w:val="407F58F4"/>
    <w:rsid w:val="40CF543F"/>
    <w:rsid w:val="40CF687B"/>
    <w:rsid w:val="40D55514"/>
    <w:rsid w:val="410302D3"/>
    <w:rsid w:val="4114428E"/>
    <w:rsid w:val="412070D7"/>
    <w:rsid w:val="41281AE7"/>
    <w:rsid w:val="41635215"/>
    <w:rsid w:val="419B2CA0"/>
    <w:rsid w:val="41A25D3E"/>
    <w:rsid w:val="41A51573"/>
    <w:rsid w:val="41A6056E"/>
    <w:rsid w:val="41A970CC"/>
    <w:rsid w:val="41DF489C"/>
    <w:rsid w:val="41E06866"/>
    <w:rsid w:val="41E41EB2"/>
    <w:rsid w:val="4230334A"/>
    <w:rsid w:val="42350960"/>
    <w:rsid w:val="423A5F76"/>
    <w:rsid w:val="424010B3"/>
    <w:rsid w:val="42434E32"/>
    <w:rsid w:val="42462B6D"/>
    <w:rsid w:val="425C0B0A"/>
    <w:rsid w:val="426C0E30"/>
    <w:rsid w:val="428E62C2"/>
    <w:rsid w:val="42957651"/>
    <w:rsid w:val="429C453B"/>
    <w:rsid w:val="42A930FC"/>
    <w:rsid w:val="42D11EF2"/>
    <w:rsid w:val="42DF4FD5"/>
    <w:rsid w:val="43171E14"/>
    <w:rsid w:val="433504EC"/>
    <w:rsid w:val="43432C09"/>
    <w:rsid w:val="434B7D0F"/>
    <w:rsid w:val="436F1C50"/>
    <w:rsid w:val="43707776"/>
    <w:rsid w:val="43923B90"/>
    <w:rsid w:val="43A6084D"/>
    <w:rsid w:val="43A72BC3"/>
    <w:rsid w:val="43B27D8E"/>
    <w:rsid w:val="43C53172"/>
    <w:rsid w:val="43CA2583"/>
    <w:rsid w:val="43EC504E"/>
    <w:rsid w:val="43EF4B3E"/>
    <w:rsid w:val="44024872"/>
    <w:rsid w:val="440F6F8F"/>
    <w:rsid w:val="44254A04"/>
    <w:rsid w:val="44557097"/>
    <w:rsid w:val="44564BBE"/>
    <w:rsid w:val="4473751E"/>
    <w:rsid w:val="447A08AC"/>
    <w:rsid w:val="447D214A"/>
    <w:rsid w:val="448434D9"/>
    <w:rsid w:val="44A75419"/>
    <w:rsid w:val="44BF2763"/>
    <w:rsid w:val="44CB0122"/>
    <w:rsid w:val="44D03ABD"/>
    <w:rsid w:val="44D53D34"/>
    <w:rsid w:val="44DA57EF"/>
    <w:rsid w:val="44DD0E3B"/>
    <w:rsid w:val="44DF046A"/>
    <w:rsid w:val="44E67CEF"/>
    <w:rsid w:val="4504286C"/>
    <w:rsid w:val="454315E6"/>
    <w:rsid w:val="45583241"/>
    <w:rsid w:val="45660E30"/>
    <w:rsid w:val="456D6663"/>
    <w:rsid w:val="457A48DC"/>
    <w:rsid w:val="457C4AF8"/>
    <w:rsid w:val="4597723C"/>
    <w:rsid w:val="45A74AC0"/>
    <w:rsid w:val="45A81449"/>
    <w:rsid w:val="45C94763"/>
    <w:rsid w:val="45CA5863"/>
    <w:rsid w:val="45D40490"/>
    <w:rsid w:val="45EC3A2B"/>
    <w:rsid w:val="46476EB4"/>
    <w:rsid w:val="464F6917"/>
    <w:rsid w:val="4682613E"/>
    <w:rsid w:val="46A377BC"/>
    <w:rsid w:val="46BA1434"/>
    <w:rsid w:val="46CB3641"/>
    <w:rsid w:val="46CE3131"/>
    <w:rsid w:val="46D87B0C"/>
    <w:rsid w:val="46D9127C"/>
    <w:rsid w:val="46DD5122"/>
    <w:rsid w:val="46E01544"/>
    <w:rsid w:val="46E360AF"/>
    <w:rsid w:val="47013070"/>
    <w:rsid w:val="470703F1"/>
    <w:rsid w:val="47086643"/>
    <w:rsid w:val="47431429"/>
    <w:rsid w:val="47460F19"/>
    <w:rsid w:val="474F285A"/>
    <w:rsid w:val="47737835"/>
    <w:rsid w:val="477F442B"/>
    <w:rsid w:val="4780267D"/>
    <w:rsid w:val="478101A3"/>
    <w:rsid w:val="47B70069"/>
    <w:rsid w:val="47BC11DC"/>
    <w:rsid w:val="47C22C96"/>
    <w:rsid w:val="47C50090"/>
    <w:rsid w:val="47D046A0"/>
    <w:rsid w:val="47D84FA6"/>
    <w:rsid w:val="47FB1D04"/>
    <w:rsid w:val="480D56CF"/>
    <w:rsid w:val="48403BBB"/>
    <w:rsid w:val="484F3DFE"/>
    <w:rsid w:val="485B09F4"/>
    <w:rsid w:val="485D651B"/>
    <w:rsid w:val="48825F81"/>
    <w:rsid w:val="48855A71"/>
    <w:rsid w:val="488E0B11"/>
    <w:rsid w:val="48BF5427"/>
    <w:rsid w:val="48D34A2F"/>
    <w:rsid w:val="48D83DF3"/>
    <w:rsid w:val="493F0316"/>
    <w:rsid w:val="493F5E8E"/>
    <w:rsid w:val="494B2817"/>
    <w:rsid w:val="49524E19"/>
    <w:rsid w:val="49584F34"/>
    <w:rsid w:val="49832350"/>
    <w:rsid w:val="498B355B"/>
    <w:rsid w:val="49A81A17"/>
    <w:rsid w:val="49C5081B"/>
    <w:rsid w:val="49D37AE3"/>
    <w:rsid w:val="49D84A41"/>
    <w:rsid w:val="49D96075"/>
    <w:rsid w:val="49DC3DB7"/>
    <w:rsid w:val="49E47FC2"/>
    <w:rsid w:val="49FD1143"/>
    <w:rsid w:val="4A091B47"/>
    <w:rsid w:val="4A1277D9"/>
    <w:rsid w:val="4A2F4251"/>
    <w:rsid w:val="4A370FED"/>
    <w:rsid w:val="4A3C32E7"/>
    <w:rsid w:val="4A443E36"/>
    <w:rsid w:val="4A795D9B"/>
    <w:rsid w:val="4A903541"/>
    <w:rsid w:val="4A930919"/>
    <w:rsid w:val="4A98294C"/>
    <w:rsid w:val="4AAC19DB"/>
    <w:rsid w:val="4AAC3789"/>
    <w:rsid w:val="4AC5484B"/>
    <w:rsid w:val="4AD625B4"/>
    <w:rsid w:val="4AEA6060"/>
    <w:rsid w:val="4AF32BD9"/>
    <w:rsid w:val="4AFB3151"/>
    <w:rsid w:val="4B09762A"/>
    <w:rsid w:val="4B0E200C"/>
    <w:rsid w:val="4B1F21AD"/>
    <w:rsid w:val="4B49547C"/>
    <w:rsid w:val="4B4E7C4F"/>
    <w:rsid w:val="4B522D56"/>
    <w:rsid w:val="4B55797D"/>
    <w:rsid w:val="4B667DDC"/>
    <w:rsid w:val="4B9D30D2"/>
    <w:rsid w:val="4BA426B2"/>
    <w:rsid w:val="4BB8645E"/>
    <w:rsid w:val="4BB91563"/>
    <w:rsid w:val="4BBE3774"/>
    <w:rsid w:val="4BD25714"/>
    <w:rsid w:val="4BE96317"/>
    <w:rsid w:val="4C0250D9"/>
    <w:rsid w:val="4C0D2006"/>
    <w:rsid w:val="4C2E58E4"/>
    <w:rsid w:val="4C485734"/>
    <w:rsid w:val="4C612351"/>
    <w:rsid w:val="4C6A56AA"/>
    <w:rsid w:val="4C8E3CAD"/>
    <w:rsid w:val="4CA00EF5"/>
    <w:rsid w:val="4CA30BBC"/>
    <w:rsid w:val="4CAE0ACC"/>
    <w:rsid w:val="4CB124C5"/>
    <w:rsid w:val="4CB132D9"/>
    <w:rsid w:val="4CCC0113"/>
    <w:rsid w:val="4CCE79E7"/>
    <w:rsid w:val="4CE0596C"/>
    <w:rsid w:val="4CE76CFB"/>
    <w:rsid w:val="4D1473C4"/>
    <w:rsid w:val="4D2E2B7B"/>
    <w:rsid w:val="4D3B2BA3"/>
    <w:rsid w:val="4D422183"/>
    <w:rsid w:val="4D447CA9"/>
    <w:rsid w:val="4D50664E"/>
    <w:rsid w:val="4D550108"/>
    <w:rsid w:val="4D704F42"/>
    <w:rsid w:val="4D775ED2"/>
    <w:rsid w:val="4D810EFD"/>
    <w:rsid w:val="4D862070"/>
    <w:rsid w:val="4D92335E"/>
    <w:rsid w:val="4D994499"/>
    <w:rsid w:val="4D9B7497"/>
    <w:rsid w:val="4D9D79DA"/>
    <w:rsid w:val="4DAB5F7A"/>
    <w:rsid w:val="4E0062C6"/>
    <w:rsid w:val="4E015B9A"/>
    <w:rsid w:val="4E143B1F"/>
    <w:rsid w:val="4E147763"/>
    <w:rsid w:val="4E30022D"/>
    <w:rsid w:val="4E3A4FCB"/>
    <w:rsid w:val="4E600B13"/>
    <w:rsid w:val="4E6C395B"/>
    <w:rsid w:val="4E984EBE"/>
    <w:rsid w:val="4E994025"/>
    <w:rsid w:val="4EA8070C"/>
    <w:rsid w:val="4EC310A1"/>
    <w:rsid w:val="4EC72940"/>
    <w:rsid w:val="4ECE3F09"/>
    <w:rsid w:val="4EE22C35"/>
    <w:rsid w:val="4EEA76C9"/>
    <w:rsid w:val="4F52563A"/>
    <w:rsid w:val="4F560168"/>
    <w:rsid w:val="4F5A6B2F"/>
    <w:rsid w:val="4F5B577E"/>
    <w:rsid w:val="4F674123"/>
    <w:rsid w:val="4F701229"/>
    <w:rsid w:val="4F9C3DCC"/>
    <w:rsid w:val="4FB70C06"/>
    <w:rsid w:val="4FE13ED5"/>
    <w:rsid w:val="4FF0236A"/>
    <w:rsid w:val="4FF27E90"/>
    <w:rsid w:val="4FF359B6"/>
    <w:rsid w:val="4FFC0D0F"/>
    <w:rsid w:val="501222E0"/>
    <w:rsid w:val="5012408F"/>
    <w:rsid w:val="50131BB5"/>
    <w:rsid w:val="501A1195"/>
    <w:rsid w:val="50417BF7"/>
    <w:rsid w:val="505E72D4"/>
    <w:rsid w:val="50666188"/>
    <w:rsid w:val="50680152"/>
    <w:rsid w:val="50720FD1"/>
    <w:rsid w:val="50A05B3E"/>
    <w:rsid w:val="50A867A1"/>
    <w:rsid w:val="50B82E88"/>
    <w:rsid w:val="50CA6717"/>
    <w:rsid w:val="50D6330E"/>
    <w:rsid w:val="50E517A3"/>
    <w:rsid w:val="50FC31C3"/>
    <w:rsid w:val="510D4856"/>
    <w:rsid w:val="51475FBA"/>
    <w:rsid w:val="5153670D"/>
    <w:rsid w:val="515D3A2F"/>
    <w:rsid w:val="51654692"/>
    <w:rsid w:val="51825244"/>
    <w:rsid w:val="518D45B6"/>
    <w:rsid w:val="51C413B8"/>
    <w:rsid w:val="51D05FAF"/>
    <w:rsid w:val="51E97071"/>
    <w:rsid w:val="51F24178"/>
    <w:rsid w:val="51FC4FF6"/>
    <w:rsid w:val="520914C1"/>
    <w:rsid w:val="522E0F28"/>
    <w:rsid w:val="52481FEA"/>
    <w:rsid w:val="524B3888"/>
    <w:rsid w:val="526D1A50"/>
    <w:rsid w:val="52734B8D"/>
    <w:rsid w:val="527E5A0B"/>
    <w:rsid w:val="52A66D10"/>
    <w:rsid w:val="52BC623B"/>
    <w:rsid w:val="52D65847"/>
    <w:rsid w:val="52EA12F3"/>
    <w:rsid w:val="52FC4B82"/>
    <w:rsid w:val="531B14AC"/>
    <w:rsid w:val="531D5224"/>
    <w:rsid w:val="5325232B"/>
    <w:rsid w:val="535A6678"/>
    <w:rsid w:val="536270DB"/>
    <w:rsid w:val="53630F4A"/>
    <w:rsid w:val="53690469"/>
    <w:rsid w:val="5371731E"/>
    <w:rsid w:val="53955F69"/>
    <w:rsid w:val="539A4AC7"/>
    <w:rsid w:val="53A25729"/>
    <w:rsid w:val="53C41B44"/>
    <w:rsid w:val="53E93358"/>
    <w:rsid w:val="54181E8F"/>
    <w:rsid w:val="542425E2"/>
    <w:rsid w:val="54297BF9"/>
    <w:rsid w:val="54330A77"/>
    <w:rsid w:val="54376BC2"/>
    <w:rsid w:val="54482775"/>
    <w:rsid w:val="545C3B2A"/>
    <w:rsid w:val="54680721"/>
    <w:rsid w:val="54703A7A"/>
    <w:rsid w:val="5492579E"/>
    <w:rsid w:val="54947206"/>
    <w:rsid w:val="549C3DB7"/>
    <w:rsid w:val="54C53DC5"/>
    <w:rsid w:val="54C87412"/>
    <w:rsid w:val="54D5680B"/>
    <w:rsid w:val="55197FB9"/>
    <w:rsid w:val="5524049C"/>
    <w:rsid w:val="552F123F"/>
    <w:rsid w:val="554051FA"/>
    <w:rsid w:val="554618F6"/>
    <w:rsid w:val="554955D0"/>
    <w:rsid w:val="554E25AE"/>
    <w:rsid w:val="555C3EC7"/>
    <w:rsid w:val="55674B67"/>
    <w:rsid w:val="55B6370E"/>
    <w:rsid w:val="55C40DE3"/>
    <w:rsid w:val="55C951EF"/>
    <w:rsid w:val="55DC74A2"/>
    <w:rsid w:val="55E942F8"/>
    <w:rsid w:val="562951B8"/>
    <w:rsid w:val="56334D5F"/>
    <w:rsid w:val="563A433F"/>
    <w:rsid w:val="56424FA2"/>
    <w:rsid w:val="56446F6C"/>
    <w:rsid w:val="564E3947"/>
    <w:rsid w:val="566C201F"/>
    <w:rsid w:val="566D0271"/>
    <w:rsid w:val="56867584"/>
    <w:rsid w:val="569772B1"/>
    <w:rsid w:val="569D042A"/>
    <w:rsid w:val="56A8574D"/>
    <w:rsid w:val="56AB0D99"/>
    <w:rsid w:val="56C67981"/>
    <w:rsid w:val="56CE6835"/>
    <w:rsid w:val="56D43325"/>
    <w:rsid w:val="56F3629C"/>
    <w:rsid w:val="56FC15F5"/>
    <w:rsid w:val="570B7A8A"/>
    <w:rsid w:val="570D1A54"/>
    <w:rsid w:val="57122BC6"/>
    <w:rsid w:val="571526B6"/>
    <w:rsid w:val="571C57F3"/>
    <w:rsid w:val="5721105B"/>
    <w:rsid w:val="57212E09"/>
    <w:rsid w:val="572D5C52"/>
    <w:rsid w:val="57312105"/>
    <w:rsid w:val="573E39BB"/>
    <w:rsid w:val="57672F12"/>
    <w:rsid w:val="576A47B0"/>
    <w:rsid w:val="57771297"/>
    <w:rsid w:val="577B69BD"/>
    <w:rsid w:val="57A001D2"/>
    <w:rsid w:val="57AE0B41"/>
    <w:rsid w:val="57BB325E"/>
    <w:rsid w:val="57F01B04"/>
    <w:rsid w:val="57F86260"/>
    <w:rsid w:val="57FC20B6"/>
    <w:rsid w:val="58111AF2"/>
    <w:rsid w:val="582C6290"/>
    <w:rsid w:val="5833162E"/>
    <w:rsid w:val="58333CB2"/>
    <w:rsid w:val="58562627"/>
    <w:rsid w:val="587D49B7"/>
    <w:rsid w:val="58A43CF2"/>
    <w:rsid w:val="58AD0DF8"/>
    <w:rsid w:val="58B91100"/>
    <w:rsid w:val="58C223CA"/>
    <w:rsid w:val="58DA3BB7"/>
    <w:rsid w:val="58F00CE5"/>
    <w:rsid w:val="58F24A5D"/>
    <w:rsid w:val="59012EF2"/>
    <w:rsid w:val="594F1EAF"/>
    <w:rsid w:val="59613991"/>
    <w:rsid w:val="59633BAD"/>
    <w:rsid w:val="596671F9"/>
    <w:rsid w:val="596D4A2C"/>
    <w:rsid w:val="59701E26"/>
    <w:rsid w:val="598D29D8"/>
    <w:rsid w:val="598F6750"/>
    <w:rsid w:val="599E2E37"/>
    <w:rsid w:val="59A33FA9"/>
    <w:rsid w:val="59A85A64"/>
    <w:rsid w:val="59A962B0"/>
    <w:rsid w:val="59AD4E28"/>
    <w:rsid w:val="59CA59DA"/>
    <w:rsid w:val="59F64A21"/>
    <w:rsid w:val="5A137381"/>
    <w:rsid w:val="5A3B68D8"/>
    <w:rsid w:val="5A405C9C"/>
    <w:rsid w:val="5A5B4884"/>
    <w:rsid w:val="5A6150CB"/>
    <w:rsid w:val="5A643739"/>
    <w:rsid w:val="5A673229"/>
    <w:rsid w:val="5A8C0A23"/>
    <w:rsid w:val="5A8D7AF5"/>
    <w:rsid w:val="5A90726B"/>
    <w:rsid w:val="5A987886"/>
    <w:rsid w:val="5A9A35FE"/>
    <w:rsid w:val="5A9B2ED2"/>
    <w:rsid w:val="5AA12BDF"/>
    <w:rsid w:val="5AA24261"/>
    <w:rsid w:val="5AA601F5"/>
    <w:rsid w:val="5AA61FA3"/>
    <w:rsid w:val="5AB056BB"/>
    <w:rsid w:val="5AB521E6"/>
    <w:rsid w:val="5ABA3CA0"/>
    <w:rsid w:val="5ACE32A8"/>
    <w:rsid w:val="5AD52888"/>
    <w:rsid w:val="5ADC3C17"/>
    <w:rsid w:val="5AFC6067"/>
    <w:rsid w:val="5B002B19"/>
    <w:rsid w:val="5B046CCA"/>
    <w:rsid w:val="5B19492B"/>
    <w:rsid w:val="5B1A64ED"/>
    <w:rsid w:val="5B1F3B03"/>
    <w:rsid w:val="5B1F58B2"/>
    <w:rsid w:val="5B353327"/>
    <w:rsid w:val="5B48305A"/>
    <w:rsid w:val="5B5A1503"/>
    <w:rsid w:val="5B5B0FE0"/>
    <w:rsid w:val="5B7B3430"/>
    <w:rsid w:val="5B8111DF"/>
    <w:rsid w:val="5B8F0C89"/>
    <w:rsid w:val="5B9A1E40"/>
    <w:rsid w:val="5BB64468"/>
    <w:rsid w:val="5BBB7CD0"/>
    <w:rsid w:val="5BBF0CE6"/>
    <w:rsid w:val="5BD40D92"/>
    <w:rsid w:val="5BD4669C"/>
    <w:rsid w:val="5BD47B15"/>
    <w:rsid w:val="5BEC1C38"/>
    <w:rsid w:val="5BF079BD"/>
    <w:rsid w:val="5BF9175D"/>
    <w:rsid w:val="5BFE196B"/>
    <w:rsid w:val="5C02145B"/>
    <w:rsid w:val="5C163158"/>
    <w:rsid w:val="5C166550"/>
    <w:rsid w:val="5C1B076F"/>
    <w:rsid w:val="5C3D6937"/>
    <w:rsid w:val="5C4C6B7A"/>
    <w:rsid w:val="5C545A2F"/>
    <w:rsid w:val="5C6043D4"/>
    <w:rsid w:val="5C6C5A31"/>
    <w:rsid w:val="5C9D1184"/>
    <w:rsid w:val="5CD32DF8"/>
    <w:rsid w:val="5CE2128D"/>
    <w:rsid w:val="5CF4045F"/>
    <w:rsid w:val="5CF82E90"/>
    <w:rsid w:val="5CFC40FC"/>
    <w:rsid w:val="5CFE60C6"/>
    <w:rsid w:val="5D0C00B7"/>
    <w:rsid w:val="5D0D4D06"/>
    <w:rsid w:val="5D156F6C"/>
    <w:rsid w:val="5D355860"/>
    <w:rsid w:val="5D371CBB"/>
    <w:rsid w:val="5D415FB3"/>
    <w:rsid w:val="5D5E6B65"/>
    <w:rsid w:val="5DA21B1C"/>
    <w:rsid w:val="5DC07F7D"/>
    <w:rsid w:val="5DD453D2"/>
    <w:rsid w:val="5DD46E27"/>
    <w:rsid w:val="5DD471FD"/>
    <w:rsid w:val="5DE80B25"/>
    <w:rsid w:val="5E145476"/>
    <w:rsid w:val="5E1A7295"/>
    <w:rsid w:val="5E39312E"/>
    <w:rsid w:val="5E437B09"/>
    <w:rsid w:val="5E451AD3"/>
    <w:rsid w:val="5E4F4700"/>
    <w:rsid w:val="5E5341F0"/>
    <w:rsid w:val="5E655CD1"/>
    <w:rsid w:val="5E9071F2"/>
    <w:rsid w:val="5E954808"/>
    <w:rsid w:val="5EBF7821"/>
    <w:rsid w:val="5ECC7329"/>
    <w:rsid w:val="5ED13367"/>
    <w:rsid w:val="5EF84D97"/>
    <w:rsid w:val="5EFC15AD"/>
    <w:rsid w:val="5F2D2C93"/>
    <w:rsid w:val="5F531FCE"/>
    <w:rsid w:val="5F5A15AE"/>
    <w:rsid w:val="5F6D12E1"/>
    <w:rsid w:val="5F6E3B0D"/>
    <w:rsid w:val="5F772160"/>
    <w:rsid w:val="5FAD577A"/>
    <w:rsid w:val="5FC52ECB"/>
    <w:rsid w:val="5FCF5AF8"/>
    <w:rsid w:val="5FE727A3"/>
    <w:rsid w:val="600D6620"/>
    <w:rsid w:val="601D5D26"/>
    <w:rsid w:val="60341DFF"/>
    <w:rsid w:val="603C0CB4"/>
    <w:rsid w:val="60477D84"/>
    <w:rsid w:val="60561D75"/>
    <w:rsid w:val="607B03DD"/>
    <w:rsid w:val="60841151"/>
    <w:rsid w:val="60844B35"/>
    <w:rsid w:val="609E54CA"/>
    <w:rsid w:val="60B371C8"/>
    <w:rsid w:val="60B847DE"/>
    <w:rsid w:val="60DA2626"/>
    <w:rsid w:val="60E85AD8"/>
    <w:rsid w:val="60F92651"/>
    <w:rsid w:val="60FA4DF7"/>
    <w:rsid w:val="6118527D"/>
    <w:rsid w:val="613A3445"/>
    <w:rsid w:val="613D2F35"/>
    <w:rsid w:val="614B11AE"/>
    <w:rsid w:val="616C7742"/>
    <w:rsid w:val="61732846"/>
    <w:rsid w:val="617A5F38"/>
    <w:rsid w:val="61826B9A"/>
    <w:rsid w:val="61842912"/>
    <w:rsid w:val="61A82AA5"/>
    <w:rsid w:val="61EB0BE3"/>
    <w:rsid w:val="620B57BC"/>
    <w:rsid w:val="620D0B5A"/>
    <w:rsid w:val="620D2908"/>
    <w:rsid w:val="620F6680"/>
    <w:rsid w:val="622D0D14"/>
    <w:rsid w:val="62402CDD"/>
    <w:rsid w:val="62487DE4"/>
    <w:rsid w:val="62741A3C"/>
    <w:rsid w:val="62A0552A"/>
    <w:rsid w:val="62A675E2"/>
    <w:rsid w:val="62C21944"/>
    <w:rsid w:val="62D13935"/>
    <w:rsid w:val="630930CF"/>
    <w:rsid w:val="63147CC6"/>
    <w:rsid w:val="631961DD"/>
    <w:rsid w:val="633D546F"/>
    <w:rsid w:val="63520F1A"/>
    <w:rsid w:val="635D78BF"/>
    <w:rsid w:val="63625EF6"/>
    <w:rsid w:val="63716EC6"/>
    <w:rsid w:val="63750E47"/>
    <w:rsid w:val="637644DD"/>
    <w:rsid w:val="63950E07"/>
    <w:rsid w:val="639A466F"/>
    <w:rsid w:val="63ED0C43"/>
    <w:rsid w:val="63F26259"/>
    <w:rsid w:val="64032214"/>
    <w:rsid w:val="64065861"/>
    <w:rsid w:val="640F0BB9"/>
    <w:rsid w:val="64124205"/>
    <w:rsid w:val="6417181C"/>
    <w:rsid w:val="64265F03"/>
    <w:rsid w:val="64395C36"/>
    <w:rsid w:val="643C74D4"/>
    <w:rsid w:val="64502F80"/>
    <w:rsid w:val="64550596"/>
    <w:rsid w:val="64622E98"/>
    <w:rsid w:val="64704CBD"/>
    <w:rsid w:val="6477675E"/>
    <w:rsid w:val="647B3F47"/>
    <w:rsid w:val="6488096B"/>
    <w:rsid w:val="64A357A5"/>
    <w:rsid w:val="64C73242"/>
    <w:rsid w:val="64DE2339"/>
    <w:rsid w:val="64EB5E98"/>
    <w:rsid w:val="64EF4547"/>
    <w:rsid w:val="64F24CF6"/>
    <w:rsid w:val="64F32289"/>
    <w:rsid w:val="65055B18"/>
    <w:rsid w:val="650B5081"/>
    <w:rsid w:val="651560C3"/>
    <w:rsid w:val="65165F77"/>
    <w:rsid w:val="65271F32"/>
    <w:rsid w:val="653D1756"/>
    <w:rsid w:val="65512720"/>
    <w:rsid w:val="65562818"/>
    <w:rsid w:val="658C7FE7"/>
    <w:rsid w:val="659C46CE"/>
    <w:rsid w:val="65A2780B"/>
    <w:rsid w:val="65C9251A"/>
    <w:rsid w:val="65C94D98"/>
    <w:rsid w:val="65E676F8"/>
    <w:rsid w:val="65FC5FC0"/>
    <w:rsid w:val="65FF6A0B"/>
    <w:rsid w:val="660B3602"/>
    <w:rsid w:val="661029C7"/>
    <w:rsid w:val="6615622F"/>
    <w:rsid w:val="661E3335"/>
    <w:rsid w:val="66285F62"/>
    <w:rsid w:val="662F5543"/>
    <w:rsid w:val="663A3EE7"/>
    <w:rsid w:val="66521231"/>
    <w:rsid w:val="665B6338"/>
    <w:rsid w:val="66613222"/>
    <w:rsid w:val="66666A8A"/>
    <w:rsid w:val="666F3B91"/>
    <w:rsid w:val="668037A8"/>
    <w:rsid w:val="66967370"/>
    <w:rsid w:val="66A71CBA"/>
    <w:rsid w:val="66AC6B93"/>
    <w:rsid w:val="66AF0CE5"/>
    <w:rsid w:val="66DE4873"/>
    <w:rsid w:val="66DF4D51"/>
    <w:rsid w:val="671D35ED"/>
    <w:rsid w:val="6721508D"/>
    <w:rsid w:val="6732696D"/>
    <w:rsid w:val="67424E02"/>
    <w:rsid w:val="674555B8"/>
    <w:rsid w:val="674C7A2E"/>
    <w:rsid w:val="6759214B"/>
    <w:rsid w:val="67A7735B"/>
    <w:rsid w:val="67C47F0C"/>
    <w:rsid w:val="68246BFD"/>
    <w:rsid w:val="68580655"/>
    <w:rsid w:val="68701E42"/>
    <w:rsid w:val="68751207"/>
    <w:rsid w:val="68792AA5"/>
    <w:rsid w:val="68955405"/>
    <w:rsid w:val="68AD3A59"/>
    <w:rsid w:val="68BC0BE4"/>
    <w:rsid w:val="68C301C4"/>
    <w:rsid w:val="68C77CB4"/>
    <w:rsid w:val="68C87588"/>
    <w:rsid w:val="68CB7079"/>
    <w:rsid w:val="68CC3938"/>
    <w:rsid w:val="68CF0917"/>
    <w:rsid w:val="68DB7851"/>
    <w:rsid w:val="68F760C0"/>
    <w:rsid w:val="690F1935"/>
    <w:rsid w:val="693410C2"/>
    <w:rsid w:val="693B41FE"/>
    <w:rsid w:val="69675274"/>
    <w:rsid w:val="697844CD"/>
    <w:rsid w:val="69787200"/>
    <w:rsid w:val="69855479"/>
    <w:rsid w:val="698E07D2"/>
    <w:rsid w:val="699F29DF"/>
    <w:rsid w:val="699F478D"/>
    <w:rsid w:val="69B0699A"/>
    <w:rsid w:val="69CF4947"/>
    <w:rsid w:val="69D34437"/>
    <w:rsid w:val="69E811CF"/>
    <w:rsid w:val="69EE33E5"/>
    <w:rsid w:val="69FF6FDA"/>
    <w:rsid w:val="6A03656D"/>
    <w:rsid w:val="6A274D79"/>
    <w:rsid w:val="6A4E1D0F"/>
    <w:rsid w:val="6A8B4D69"/>
    <w:rsid w:val="6A916014"/>
    <w:rsid w:val="6AC344AB"/>
    <w:rsid w:val="6AE54422"/>
    <w:rsid w:val="6AF13082"/>
    <w:rsid w:val="6AFE1987"/>
    <w:rsid w:val="6B067E55"/>
    <w:rsid w:val="6B0A032C"/>
    <w:rsid w:val="6B1D7580"/>
    <w:rsid w:val="6B2B3DFF"/>
    <w:rsid w:val="6B2F1B41"/>
    <w:rsid w:val="6B3C7DBA"/>
    <w:rsid w:val="6B415125"/>
    <w:rsid w:val="6B5B46E4"/>
    <w:rsid w:val="6B6F1F3D"/>
    <w:rsid w:val="6B712159"/>
    <w:rsid w:val="6B826114"/>
    <w:rsid w:val="6B8735B1"/>
    <w:rsid w:val="6BA02A3F"/>
    <w:rsid w:val="6BBB1626"/>
    <w:rsid w:val="6BBD714D"/>
    <w:rsid w:val="6BE67574"/>
    <w:rsid w:val="6BFF1513"/>
    <w:rsid w:val="6C0703C8"/>
    <w:rsid w:val="6C0E79A8"/>
    <w:rsid w:val="6C1F5711"/>
    <w:rsid w:val="6C2947E2"/>
    <w:rsid w:val="6C335661"/>
    <w:rsid w:val="6C354F35"/>
    <w:rsid w:val="6C3E04A4"/>
    <w:rsid w:val="6C450EF0"/>
    <w:rsid w:val="6C537AB1"/>
    <w:rsid w:val="6C5E0930"/>
    <w:rsid w:val="6C816902"/>
    <w:rsid w:val="6C892B57"/>
    <w:rsid w:val="6C967015"/>
    <w:rsid w:val="6CBC77FD"/>
    <w:rsid w:val="6CBF5C31"/>
    <w:rsid w:val="6CDF1345"/>
    <w:rsid w:val="6CE801F9"/>
    <w:rsid w:val="6CFF1222"/>
    <w:rsid w:val="6D012174"/>
    <w:rsid w:val="6D1A237D"/>
    <w:rsid w:val="6D2A25C0"/>
    <w:rsid w:val="6D390A55"/>
    <w:rsid w:val="6D413DAD"/>
    <w:rsid w:val="6D505D9E"/>
    <w:rsid w:val="6D7E46BA"/>
    <w:rsid w:val="6D8A305E"/>
    <w:rsid w:val="6D9739CD"/>
    <w:rsid w:val="6D97577B"/>
    <w:rsid w:val="6DA66788"/>
    <w:rsid w:val="6DB147FB"/>
    <w:rsid w:val="6DE36C13"/>
    <w:rsid w:val="6DF42BCE"/>
    <w:rsid w:val="6E1B45FE"/>
    <w:rsid w:val="6E225D0B"/>
    <w:rsid w:val="6E25722B"/>
    <w:rsid w:val="6E3D4575"/>
    <w:rsid w:val="6E3F653F"/>
    <w:rsid w:val="6E423939"/>
    <w:rsid w:val="6E4A639F"/>
    <w:rsid w:val="6E573888"/>
    <w:rsid w:val="6E592619"/>
    <w:rsid w:val="6E6164B5"/>
    <w:rsid w:val="6E716558"/>
    <w:rsid w:val="6E7F2DDF"/>
    <w:rsid w:val="6E9817AB"/>
    <w:rsid w:val="6EA42846"/>
    <w:rsid w:val="6EBA5BC5"/>
    <w:rsid w:val="6EBC053F"/>
    <w:rsid w:val="6ED749C9"/>
    <w:rsid w:val="6ED924EF"/>
    <w:rsid w:val="6EDC5B3C"/>
    <w:rsid w:val="6EE42C42"/>
    <w:rsid w:val="6EF308E2"/>
    <w:rsid w:val="6F4638FD"/>
    <w:rsid w:val="6F633C29"/>
    <w:rsid w:val="6F747B34"/>
    <w:rsid w:val="6F775864"/>
    <w:rsid w:val="6F926B42"/>
    <w:rsid w:val="6F977CB5"/>
    <w:rsid w:val="6F9C52CB"/>
    <w:rsid w:val="6FAA0781"/>
    <w:rsid w:val="6FAB550E"/>
    <w:rsid w:val="6FAF4FFE"/>
    <w:rsid w:val="6FB13861"/>
    <w:rsid w:val="6FB24AEE"/>
    <w:rsid w:val="6FB2689C"/>
    <w:rsid w:val="6FB8461B"/>
    <w:rsid w:val="6FE7460E"/>
    <w:rsid w:val="6FF73669"/>
    <w:rsid w:val="70096E04"/>
    <w:rsid w:val="70115CB9"/>
    <w:rsid w:val="702C2AF3"/>
    <w:rsid w:val="703379DD"/>
    <w:rsid w:val="704A2F79"/>
    <w:rsid w:val="705A10F7"/>
    <w:rsid w:val="70746A5A"/>
    <w:rsid w:val="707A560C"/>
    <w:rsid w:val="70814BED"/>
    <w:rsid w:val="709A7A5C"/>
    <w:rsid w:val="70B05C7B"/>
    <w:rsid w:val="70DA60AB"/>
    <w:rsid w:val="70E17439"/>
    <w:rsid w:val="70E7214C"/>
    <w:rsid w:val="7101188A"/>
    <w:rsid w:val="710E21F8"/>
    <w:rsid w:val="712F1454"/>
    <w:rsid w:val="71630796"/>
    <w:rsid w:val="71641E18"/>
    <w:rsid w:val="71662034"/>
    <w:rsid w:val="71704C61"/>
    <w:rsid w:val="717209D9"/>
    <w:rsid w:val="71C17073"/>
    <w:rsid w:val="71C93552"/>
    <w:rsid w:val="71CD285F"/>
    <w:rsid w:val="71D13952"/>
    <w:rsid w:val="71E46B34"/>
    <w:rsid w:val="71F344E7"/>
    <w:rsid w:val="71FA177E"/>
    <w:rsid w:val="72273530"/>
    <w:rsid w:val="723B3CBA"/>
    <w:rsid w:val="72404633"/>
    <w:rsid w:val="724E1851"/>
    <w:rsid w:val="72534367"/>
    <w:rsid w:val="72575D91"/>
    <w:rsid w:val="725B5C5E"/>
    <w:rsid w:val="72640322"/>
    <w:rsid w:val="72644963"/>
    <w:rsid w:val="72B62B48"/>
    <w:rsid w:val="72B8241C"/>
    <w:rsid w:val="72E72D01"/>
    <w:rsid w:val="72F5541E"/>
    <w:rsid w:val="7306587D"/>
    <w:rsid w:val="73075151"/>
    <w:rsid w:val="730E028E"/>
    <w:rsid w:val="732E0930"/>
    <w:rsid w:val="73373C88"/>
    <w:rsid w:val="73402E3C"/>
    <w:rsid w:val="7349576A"/>
    <w:rsid w:val="735760D9"/>
    <w:rsid w:val="735A7977"/>
    <w:rsid w:val="7399224D"/>
    <w:rsid w:val="73A56E44"/>
    <w:rsid w:val="73AF1A71"/>
    <w:rsid w:val="73B54BAD"/>
    <w:rsid w:val="73B61051"/>
    <w:rsid w:val="73BC418E"/>
    <w:rsid w:val="73C05A2C"/>
    <w:rsid w:val="73C16D4D"/>
    <w:rsid w:val="73DD6D17"/>
    <w:rsid w:val="740A314B"/>
    <w:rsid w:val="74133F3F"/>
    <w:rsid w:val="741657BE"/>
    <w:rsid w:val="7420296E"/>
    <w:rsid w:val="743075B3"/>
    <w:rsid w:val="743079E6"/>
    <w:rsid w:val="745B68E1"/>
    <w:rsid w:val="747131CA"/>
    <w:rsid w:val="74890514"/>
    <w:rsid w:val="74B445E4"/>
    <w:rsid w:val="74D55507"/>
    <w:rsid w:val="74EF0A4A"/>
    <w:rsid w:val="74FB2A94"/>
    <w:rsid w:val="75047B9A"/>
    <w:rsid w:val="752C0E9F"/>
    <w:rsid w:val="75371D1E"/>
    <w:rsid w:val="75640639"/>
    <w:rsid w:val="756643B1"/>
    <w:rsid w:val="75BA7FD9"/>
    <w:rsid w:val="75CD61DE"/>
    <w:rsid w:val="75DC4673"/>
    <w:rsid w:val="75E17EDC"/>
    <w:rsid w:val="75E35A02"/>
    <w:rsid w:val="75E672A0"/>
    <w:rsid w:val="75F23E97"/>
    <w:rsid w:val="75F748CB"/>
    <w:rsid w:val="76053BCA"/>
    <w:rsid w:val="76236746"/>
    <w:rsid w:val="76261D92"/>
    <w:rsid w:val="76391AC6"/>
    <w:rsid w:val="765B7C8E"/>
    <w:rsid w:val="7678411E"/>
    <w:rsid w:val="76805946"/>
    <w:rsid w:val="76832D41"/>
    <w:rsid w:val="768E1E11"/>
    <w:rsid w:val="76992564"/>
    <w:rsid w:val="769A3BE4"/>
    <w:rsid w:val="76C515AB"/>
    <w:rsid w:val="76CF41D8"/>
    <w:rsid w:val="76EE28B0"/>
    <w:rsid w:val="76F459ED"/>
    <w:rsid w:val="771A5453"/>
    <w:rsid w:val="771B11CB"/>
    <w:rsid w:val="772E7150"/>
    <w:rsid w:val="774B7D02"/>
    <w:rsid w:val="77536BB7"/>
    <w:rsid w:val="7755292F"/>
    <w:rsid w:val="776808B4"/>
    <w:rsid w:val="77A17922"/>
    <w:rsid w:val="77AF64E3"/>
    <w:rsid w:val="77CD73FD"/>
    <w:rsid w:val="77E43CB3"/>
    <w:rsid w:val="77EF4F5C"/>
    <w:rsid w:val="77F57C6E"/>
    <w:rsid w:val="77F87308"/>
    <w:rsid w:val="77FA5285"/>
    <w:rsid w:val="78054355"/>
    <w:rsid w:val="78056103"/>
    <w:rsid w:val="78102F6E"/>
    <w:rsid w:val="7827548D"/>
    <w:rsid w:val="782D7408"/>
    <w:rsid w:val="783C589D"/>
    <w:rsid w:val="784C049C"/>
    <w:rsid w:val="78570929"/>
    <w:rsid w:val="78610198"/>
    <w:rsid w:val="78801C2E"/>
    <w:rsid w:val="7884464F"/>
    <w:rsid w:val="788D7EA7"/>
    <w:rsid w:val="78AC2A23"/>
    <w:rsid w:val="78D15FE5"/>
    <w:rsid w:val="78D83818"/>
    <w:rsid w:val="78EF290F"/>
    <w:rsid w:val="7917273F"/>
    <w:rsid w:val="7923254F"/>
    <w:rsid w:val="796843A8"/>
    <w:rsid w:val="797A48CF"/>
    <w:rsid w:val="798474FC"/>
    <w:rsid w:val="79B00192"/>
    <w:rsid w:val="79B4336B"/>
    <w:rsid w:val="79C8388C"/>
    <w:rsid w:val="79D7587D"/>
    <w:rsid w:val="79DD6C0C"/>
    <w:rsid w:val="79EE2BC7"/>
    <w:rsid w:val="79F006ED"/>
    <w:rsid w:val="79F301DD"/>
    <w:rsid w:val="79FC7092"/>
    <w:rsid w:val="7A124B07"/>
    <w:rsid w:val="7A1B7E60"/>
    <w:rsid w:val="7A28257D"/>
    <w:rsid w:val="7A574C10"/>
    <w:rsid w:val="7A5944E4"/>
    <w:rsid w:val="7A6115EB"/>
    <w:rsid w:val="7A777060"/>
    <w:rsid w:val="7A792DD8"/>
    <w:rsid w:val="7ADE0E8D"/>
    <w:rsid w:val="7AE5221C"/>
    <w:rsid w:val="7AF608E4"/>
    <w:rsid w:val="7AF81F4F"/>
    <w:rsid w:val="7AF95CC7"/>
    <w:rsid w:val="7B0326A2"/>
    <w:rsid w:val="7B31720F"/>
    <w:rsid w:val="7B474C85"/>
    <w:rsid w:val="7B560A24"/>
    <w:rsid w:val="7B690757"/>
    <w:rsid w:val="7B6E3FBF"/>
    <w:rsid w:val="7B8F3F36"/>
    <w:rsid w:val="7B9854E0"/>
    <w:rsid w:val="7BBC11CF"/>
    <w:rsid w:val="7BBE7F6F"/>
    <w:rsid w:val="7BE81EEB"/>
    <w:rsid w:val="7BF2699E"/>
    <w:rsid w:val="7BF80595"/>
    <w:rsid w:val="7C0466D2"/>
    <w:rsid w:val="7C352D2F"/>
    <w:rsid w:val="7C542284"/>
    <w:rsid w:val="7C58780F"/>
    <w:rsid w:val="7C620441"/>
    <w:rsid w:val="7C7B7C0A"/>
    <w:rsid w:val="7C9F06E9"/>
    <w:rsid w:val="7CC04CEF"/>
    <w:rsid w:val="7CEC1490"/>
    <w:rsid w:val="7D034BDB"/>
    <w:rsid w:val="7D1421DF"/>
    <w:rsid w:val="7D250FF6"/>
    <w:rsid w:val="7D536558"/>
    <w:rsid w:val="7D5E0064"/>
    <w:rsid w:val="7D6C2781"/>
    <w:rsid w:val="7D943A85"/>
    <w:rsid w:val="7DA15AAF"/>
    <w:rsid w:val="7DD10836"/>
    <w:rsid w:val="7DEB7B49"/>
    <w:rsid w:val="7DF033B2"/>
    <w:rsid w:val="7E002EC9"/>
    <w:rsid w:val="7E064983"/>
    <w:rsid w:val="7E215319"/>
    <w:rsid w:val="7E3037AE"/>
    <w:rsid w:val="7E3239CA"/>
    <w:rsid w:val="7E553E73"/>
    <w:rsid w:val="7E7A0ECD"/>
    <w:rsid w:val="7EA06B86"/>
    <w:rsid w:val="7EA146AC"/>
    <w:rsid w:val="7EAB552B"/>
    <w:rsid w:val="7EB048EF"/>
    <w:rsid w:val="7EBE0DBA"/>
    <w:rsid w:val="7EC65EC0"/>
    <w:rsid w:val="7EFC5D86"/>
    <w:rsid w:val="7F160BF6"/>
    <w:rsid w:val="7F4C0ABC"/>
    <w:rsid w:val="7F671451"/>
    <w:rsid w:val="7F762FA4"/>
    <w:rsid w:val="7F930498"/>
    <w:rsid w:val="7F954211"/>
    <w:rsid w:val="7FA73F44"/>
    <w:rsid w:val="7FB421BD"/>
    <w:rsid w:val="7FBC4580"/>
    <w:rsid w:val="7FC56178"/>
    <w:rsid w:val="7FD10B43"/>
    <w:rsid w:val="7FD8234F"/>
    <w:rsid w:val="7FE07E8D"/>
    <w:rsid w:val="7FE9630A"/>
    <w:rsid w:val="7FF802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0"/>
    <w:pPr>
      <w:spacing w:line="570" w:lineRule="exact"/>
      <w:ind w:firstLine="640" w:firstLineChars="200"/>
      <w:jc w:val="left"/>
    </w:pPr>
    <w:rPr>
      <w:rFonts w:hint="eastAsia" w:ascii="仿宋" w:hAnsi="仿宋" w:eastAsia="方正仿宋_GBK"/>
      <w:spacing w:val="1"/>
      <w:kern w:val="2"/>
    </w:rPr>
  </w:style>
  <w:style w:type="paragraph" w:styleId="6">
    <w:name w:val="Normal Indent"/>
    <w:basedOn w:val="1"/>
    <w:qFormat/>
    <w:uiPriority w:val="99"/>
    <w:pPr>
      <w:ind w:firstLine="420"/>
    </w:pPr>
    <w:rPr>
      <w:rFonts w:ascii="Times New Roman" w:hAnsi="Times New Roman" w:eastAsia="仿宋_GB2312"/>
      <w:sz w:val="24"/>
      <w:szCs w:val="20"/>
    </w:rPr>
  </w:style>
  <w:style w:type="paragraph" w:styleId="7">
    <w:name w:val="Document Map"/>
    <w:basedOn w:val="1"/>
    <w:link w:val="20"/>
    <w:semiHidden/>
    <w:qFormat/>
    <w:uiPriority w:val="99"/>
    <w:rPr>
      <w:rFonts w:ascii="宋体" w:eastAsia="宋体"/>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rFonts w:cs="Times New Roman"/>
      <w:color w:val="0563C1"/>
      <w:u w:val="single"/>
    </w:rPr>
  </w:style>
  <w:style w:type="character" w:customStyle="1" w:styleId="17">
    <w:name w:val="Heading 1 Char"/>
    <w:basedOn w:val="15"/>
    <w:link w:val="3"/>
    <w:qFormat/>
    <w:locked/>
    <w:uiPriority w:val="99"/>
    <w:rPr>
      <w:rFonts w:ascii="Times New Roman" w:hAnsi="Times New Roman" w:eastAsia="黑体" w:cs="Arial"/>
      <w:b/>
      <w:bCs/>
      <w:kern w:val="44"/>
      <w:sz w:val="44"/>
      <w:szCs w:val="44"/>
    </w:rPr>
  </w:style>
  <w:style w:type="character" w:customStyle="1" w:styleId="18">
    <w:name w:val="Heading 3 Char"/>
    <w:basedOn w:val="15"/>
    <w:link w:val="4"/>
    <w:semiHidden/>
    <w:qFormat/>
    <w:locked/>
    <w:uiPriority w:val="99"/>
    <w:rPr>
      <w:rFonts w:ascii="等线" w:hAnsi="等线" w:eastAsia="等线" w:cs="Times New Roman"/>
      <w:b/>
      <w:bCs/>
      <w:kern w:val="2"/>
      <w:sz w:val="32"/>
      <w:szCs w:val="32"/>
    </w:rPr>
  </w:style>
  <w:style w:type="character" w:customStyle="1" w:styleId="19">
    <w:name w:val="Heading 4 Char"/>
    <w:basedOn w:val="15"/>
    <w:link w:val="5"/>
    <w:semiHidden/>
    <w:qFormat/>
    <w:locked/>
    <w:uiPriority w:val="99"/>
    <w:rPr>
      <w:rFonts w:ascii="等线 Light" w:hAnsi="等线 Light" w:eastAsia="等线 Light" w:cs="Times New Roman"/>
      <w:b/>
      <w:bCs/>
      <w:kern w:val="2"/>
      <w:sz w:val="28"/>
      <w:szCs w:val="28"/>
    </w:rPr>
  </w:style>
  <w:style w:type="character" w:customStyle="1" w:styleId="20">
    <w:name w:val="Document Map Char"/>
    <w:basedOn w:val="15"/>
    <w:link w:val="7"/>
    <w:semiHidden/>
    <w:qFormat/>
    <w:locked/>
    <w:uiPriority w:val="99"/>
    <w:rPr>
      <w:rFonts w:ascii="宋体" w:hAnsi="等线" w:cs="Times New Roman"/>
      <w:kern w:val="2"/>
      <w:sz w:val="18"/>
      <w:szCs w:val="18"/>
    </w:rPr>
  </w:style>
  <w:style w:type="character" w:customStyle="1" w:styleId="21">
    <w:name w:val="Footer Char"/>
    <w:basedOn w:val="15"/>
    <w:link w:val="8"/>
    <w:qFormat/>
    <w:locked/>
    <w:uiPriority w:val="99"/>
    <w:rPr>
      <w:rFonts w:cs="Times New Roman"/>
      <w:sz w:val="18"/>
      <w:szCs w:val="18"/>
    </w:rPr>
  </w:style>
  <w:style w:type="character" w:customStyle="1" w:styleId="22">
    <w:name w:val="Header Char"/>
    <w:basedOn w:val="15"/>
    <w:link w:val="9"/>
    <w:qFormat/>
    <w:locked/>
    <w:uiPriority w:val="99"/>
    <w:rPr>
      <w:rFonts w:cs="Times New Roman"/>
      <w:sz w:val="18"/>
      <w:szCs w:val="18"/>
    </w:rPr>
  </w:style>
  <w:style w:type="paragraph" w:customStyle="1" w:styleId="23">
    <w:name w:val="Default"/>
    <w:qForma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 w:type="paragraph" w:customStyle="1" w:styleId="24">
    <w:name w:val="列表段落1"/>
    <w:basedOn w:val="1"/>
    <w:qFormat/>
    <w:uiPriority w:val="99"/>
    <w:pPr>
      <w:ind w:firstLine="420" w:firstLineChars="200"/>
    </w:pPr>
  </w:style>
  <w:style w:type="paragraph" w:customStyle="1" w:styleId="25">
    <w:name w:val="表头"/>
    <w:basedOn w:val="1"/>
    <w:qFormat/>
    <w:uiPriority w:val="99"/>
    <w:pPr>
      <w:adjustRightInd w:val="0"/>
      <w:snapToGrid w:val="0"/>
      <w:jc w:val="center"/>
      <w:textAlignment w:val="baseline"/>
    </w:pPr>
    <w:rPr>
      <w:rFonts w:ascii="黑体" w:hAnsi="Times New Roman" w:eastAsia="黑体"/>
      <w:b/>
      <w:spacing w:val="8"/>
      <w:kern w:val="24"/>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font11"/>
    <w:basedOn w:val="1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32</Pages>
  <Words>12232</Words>
  <Characters>13102</Characters>
  <Lines>0</Lines>
  <Paragraphs>0</Paragraphs>
  <TotalTime>48</TotalTime>
  <ScaleCrop>false</ScaleCrop>
  <LinksUpToDate>false</LinksUpToDate>
  <CharactersWithSpaces>13279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2022-08-03T12:16:00Z</dcterms:created>
  <dc:creator>ThinkPad</dc:creator>
  <cp:lastModifiedBy>Administrator</cp:lastModifiedBy>
  <cp:lastPrinted>2024-03-18T02:17:28Z</cp:lastPrinted>
  <dcterms:modified xsi:type="dcterms:W3CDTF">2024-03-18T02:17:36Z</dcterms:modified>
  <dc:title>疏附县吾库萨克镇7村-托克扎克镇4村-萨依巴格乡10村道路建设项目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5689041C8AC7467A8253A07087BE3D11</vt:lpwstr>
  </property>
</Properties>
</file>