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40"/>
          <w:szCs w:val="40"/>
          <w:lang w:eastAsia="zh-CN"/>
        </w:rPr>
      </w:pPr>
      <w:r>
        <w:rPr>
          <w:rFonts w:hint="eastAsia" w:ascii="仿宋" w:hAnsi="仿宋" w:eastAsia="仿宋" w:cs="仿宋"/>
          <w:spacing w:val="6"/>
          <w:sz w:val="40"/>
          <w:szCs w:val="40"/>
          <w:lang w:eastAsia="zh-CN"/>
        </w:rPr>
        <w:t>麦盖提县希依提墩乡、克孜勒阿瓦提乡村辅道建设2024年中央财政以工代赈项目</w:t>
      </w:r>
    </w:p>
    <w:p>
      <w:pPr>
        <w:pStyle w:val="2"/>
        <w:rPr>
          <w:rFonts w:hint="eastAsia"/>
        </w:rPr>
      </w:pP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r>
        <w:rPr>
          <w:rFonts w:hint="eastAsia" w:ascii="仿宋" w:hAnsi="仿宋" w:eastAsia="仿宋" w:cs="仿宋"/>
          <w:spacing w:val="6"/>
          <w:sz w:val="52"/>
          <w:szCs w:val="52"/>
        </w:rPr>
        <w:t>实施方案</w:t>
      </w:r>
    </w:p>
    <w:p>
      <w:pPr>
        <w:pageBreakBefore w:val="0"/>
        <w:kinsoku/>
        <w:wordWrap/>
        <w:overflowPunct/>
        <w:topLinePunct w:val="0"/>
        <w:bidi w:val="0"/>
        <w:snapToGrid w:val="0"/>
        <w:spacing w:line="570" w:lineRule="exact"/>
        <w:textAlignment w:val="baseline"/>
        <w:rPr>
          <w:rFonts w:hint="eastAsia" w:ascii="仿宋" w:hAnsi="仿宋" w:eastAsia="仿宋" w:cs="仿宋"/>
          <w:spacing w:val="6"/>
          <w:sz w:val="44"/>
          <w:szCs w:val="44"/>
        </w:rPr>
      </w:pPr>
    </w:p>
    <w:p>
      <w:pPr>
        <w:pageBreakBefore w:val="0"/>
        <w:kinsoku/>
        <w:wordWrap/>
        <w:overflowPunct/>
        <w:topLinePunct w:val="0"/>
        <w:bidi w:val="0"/>
        <w:snapToGrid w:val="0"/>
        <w:spacing w:line="570" w:lineRule="exact"/>
        <w:textAlignment w:val="baseline"/>
        <w:rPr>
          <w:rFonts w:hint="eastAsia" w:ascii="仿宋" w:hAnsi="仿宋" w:eastAsia="仿宋" w:cs="仿宋"/>
          <w:spacing w:val="6"/>
          <w:sz w:val="44"/>
          <w:szCs w:val="44"/>
        </w:rPr>
      </w:pPr>
    </w:p>
    <w:p>
      <w:pPr>
        <w:pageBreakBefore w:val="0"/>
        <w:kinsoku/>
        <w:wordWrap/>
        <w:overflowPunct/>
        <w:topLinePunct w:val="0"/>
        <w:bidi w:val="0"/>
        <w:snapToGrid w:val="0"/>
        <w:spacing w:line="570" w:lineRule="exact"/>
        <w:textAlignment w:val="baseline"/>
        <w:rPr>
          <w:rFonts w:hint="eastAsia" w:ascii="仿宋" w:hAnsi="仿宋" w:eastAsia="仿宋" w:cs="仿宋"/>
          <w:spacing w:val="6"/>
          <w:sz w:val="44"/>
          <w:szCs w:val="44"/>
        </w:rPr>
      </w:pPr>
    </w:p>
    <w:p>
      <w:pPr>
        <w:pageBreakBefore w:val="0"/>
        <w:kinsoku/>
        <w:wordWrap/>
        <w:overflowPunct/>
        <w:topLinePunct w:val="0"/>
        <w:bidi w:val="0"/>
        <w:snapToGrid w:val="0"/>
        <w:spacing w:line="570" w:lineRule="exact"/>
        <w:textAlignment w:val="baseline"/>
        <w:rPr>
          <w:rFonts w:hint="eastAsia" w:ascii="仿宋" w:hAnsi="仿宋" w:eastAsia="仿宋" w:cs="仿宋"/>
          <w:spacing w:val="6"/>
          <w:sz w:val="44"/>
          <w:szCs w:val="44"/>
        </w:rPr>
      </w:pPr>
    </w:p>
    <w:p>
      <w:pPr>
        <w:pageBreakBefore w:val="0"/>
        <w:kinsoku/>
        <w:wordWrap/>
        <w:overflowPunct/>
        <w:topLinePunct w:val="0"/>
        <w:bidi w:val="0"/>
        <w:snapToGrid w:val="0"/>
        <w:spacing w:line="570" w:lineRule="exact"/>
        <w:textAlignment w:val="baseline"/>
        <w:rPr>
          <w:rFonts w:hint="eastAsia" w:ascii="仿宋" w:hAnsi="仿宋" w:eastAsia="仿宋" w:cs="仿宋"/>
          <w:spacing w:val="6"/>
          <w:sz w:val="44"/>
          <w:szCs w:val="44"/>
        </w:rPr>
      </w:pPr>
    </w:p>
    <w:p>
      <w:pPr>
        <w:pStyle w:val="2"/>
        <w:pageBreakBefore w:val="0"/>
        <w:kinsoku/>
        <w:wordWrap/>
        <w:overflowPunct/>
        <w:topLinePunct w:val="0"/>
        <w:bidi w:val="0"/>
        <w:spacing w:line="570" w:lineRule="exact"/>
        <w:ind w:left="0" w:leftChars="0" w:firstLine="0" w:firstLineChars="0"/>
        <w:rPr>
          <w:rFonts w:hint="eastAsia" w:ascii="仿宋" w:hAnsi="仿宋" w:eastAsia="仿宋" w:cs="仿宋"/>
          <w:spacing w:val="6"/>
          <w:sz w:val="44"/>
          <w:szCs w:val="44"/>
        </w:rPr>
      </w:pPr>
    </w:p>
    <w:p>
      <w:pPr>
        <w:pageBreakBefore w:val="0"/>
        <w:kinsoku/>
        <w:wordWrap/>
        <w:overflowPunct/>
        <w:topLinePunct w:val="0"/>
        <w:bidi w:val="0"/>
        <w:snapToGrid w:val="0"/>
        <w:spacing w:line="570" w:lineRule="exact"/>
        <w:ind w:left="2630" w:leftChars="304" w:hanging="1992" w:hangingChars="600"/>
        <w:jc w:val="center"/>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rPr>
        <w:t>项目名称：</w:t>
      </w:r>
      <w:r>
        <w:rPr>
          <w:rFonts w:hint="eastAsia" w:ascii="仿宋" w:hAnsi="仿宋" w:eastAsia="仿宋" w:cs="仿宋"/>
          <w:spacing w:val="6"/>
          <w:sz w:val="32"/>
          <w:szCs w:val="32"/>
          <w:lang w:eastAsia="zh-CN"/>
        </w:rPr>
        <w:t>麦盖提县希依提墩乡、克孜勒阿瓦提乡辅道建设2024年中央财政以工代赈项目</w:t>
      </w:r>
    </w:p>
    <w:p>
      <w:pPr>
        <w:pageBreakBefore w:val="0"/>
        <w:kinsoku/>
        <w:wordWrap/>
        <w:overflowPunct/>
        <w:topLinePunct w:val="0"/>
        <w:bidi w:val="0"/>
        <w:snapToGrid w:val="0"/>
        <w:spacing w:line="570" w:lineRule="exact"/>
        <w:ind w:firstLine="664" w:firstLineChars="200"/>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w:t>
      </w:r>
      <w:r>
        <w:rPr>
          <w:rFonts w:hint="eastAsia" w:ascii="仿宋" w:hAnsi="仿宋" w:eastAsia="仿宋" w:cs="仿宋"/>
          <w:spacing w:val="6"/>
          <w:sz w:val="32"/>
          <w:szCs w:val="32"/>
          <w:lang w:eastAsia="zh-CN"/>
        </w:rPr>
        <w:t>监督</w:t>
      </w:r>
      <w:r>
        <w:rPr>
          <w:rFonts w:hint="eastAsia" w:ascii="仿宋" w:hAnsi="仿宋" w:eastAsia="仿宋" w:cs="仿宋"/>
          <w:spacing w:val="6"/>
          <w:sz w:val="32"/>
          <w:szCs w:val="32"/>
        </w:rPr>
        <w:t>单位：麦盖提县交通运输局</w:t>
      </w:r>
    </w:p>
    <w:p>
      <w:pPr>
        <w:pageBreakBefore w:val="0"/>
        <w:kinsoku/>
        <w:wordWrap/>
        <w:overflowPunct/>
        <w:topLinePunct w:val="0"/>
        <w:bidi w:val="0"/>
        <w:snapToGrid w:val="0"/>
        <w:spacing w:line="570" w:lineRule="exact"/>
        <w:ind w:firstLine="664" w:firstLineChars="200"/>
        <w:textAlignment w:val="baseline"/>
        <w:rPr>
          <w:rFonts w:hint="eastAsia" w:ascii="仿宋" w:hAnsi="仿宋" w:eastAsia="仿宋" w:cs="仿宋"/>
          <w:color w:val="000000"/>
          <w:spacing w:val="6"/>
          <w:sz w:val="30"/>
          <w:szCs w:val="30"/>
        </w:rPr>
      </w:pPr>
      <w:r>
        <w:rPr>
          <w:rFonts w:hint="eastAsia" w:ascii="仿宋" w:hAnsi="仿宋" w:eastAsia="仿宋" w:cs="仿宋"/>
          <w:spacing w:val="6"/>
          <w:sz w:val="32"/>
          <w:szCs w:val="32"/>
        </w:rPr>
        <w:t>项目实施单位：</w:t>
      </w:r>
      <w:r>
        <w:rPr>
          <w:rFonts w:hint="eastAsia" w:ascii="仿宋" w:hAnsi="仿宋" w:eastAsia="仿宋" w:cs="仿宋"/>
          <w:color w:val="000000"/>
          <w:spacing w:val="6"/>
          <w:sz w:val="30"/>
          <w:szCs w:val="30"/>
        </w:rPr>
        <w:t>麦盖提县农村公路建设养护所</w:t>
      </w:r>
    </w:p>
    <w:p>
      <w:pPr>
        <w:pStyle w:val="2"/>
        <w:pageBreakBefore w:val="0"/>
        <w:kinsoku/>
        <w:wordWrap/>
        <w:overflowPunct/>
        <w:topLinePunct w:val="0"/>
        <w:bidi w:val="0"/>
        <w:spacing w:line="570" w:lineRule="exact"/>
        <w:rPr>
          <w:rFonts w:hint="eastAsia" w:ascii="仿宋" w:hAnsi="仿宋" w:eastAsia="仿宋" w:cs="仿宋"/>
          <w:spacing w:val="6"/>
          <w:sz w:val="32"/>
          <w:szCs w:val="32"/>
        </w:rPr>
      </w:pPr>
      <w:r>
        <w:rPr>
          <w:rFonts w:hint="eastAsia" w:ascii="仿宋" w:hAnsi="仿宋" w:eastAsia="仿宋" w:cs="仿宋"/>
          <w:spacing w:val="6"/>
          <w:sz w:val="32"/>
          <w:szCs w:val="32"/>
        </w:rPr>
        <w:t>编制</w:t>
      </w:r>
      <w:r>
        <w:rPr>
          <w:rFonts w:hint="eastAsia" w:ascii="仿宋" w:hAnsi="仿宋" w:eastAsia="仿宋" w:cs="仿宋"/>
          <w:spacing w:val="6"/>
          <w:sz w:val="32"/>
          <w:szCs w:val="32"/>
          <w:lang w:eastAsia="zh-CN"/>
        </w:rPr>
        <w:t>单位：</w:t>
      </w:r>
      <w:r>
        <w:rPr>
          <w:rFonts w:hint="eastAsia" w:ascii="仿宋" w:hAnsi="仿宋" w:eastAsia="仿宋" w:cs="仿宋"/>
          <w:color w:val="000000"/>
          <w:spacing w:val="6"/>
          <w:kern w:val="2"/>
          <w:sz w:val="30"/>
          <w:szCs w:val="30"/>
          <w:lang w:val="en-US" w:eastAsia="zh-CN" w:bidi="ar-SA"/>
        </w:rPr>
        <w:t>乌鲁木齐中建广通勘察设计有限公司</w:t>
      </w:r>
    </w:p>
    <w:p>
      <w:pPr>
        <w:pageBreakBefore w:val="0"/>
        <w:kinsoku/>
        <w:wordWrap/>
        <w:overflowPunct/>
        <w:topLinePunct w:val="0"/>
        <w:bidi w:val="0"/>
        <w:snapToGrid w:val="0"/>
        <w:spacing w:line="570" w:lineRule="exact"/>
        <w:ind w:firstLine="664" w:firstLineChars="200"/>
        <w:textAlignment w:val="baseline"/>
        <w:rPr>
          <w:rFonts w:hint="eastAsia" w:ascii="仿宋" w:hAnsi="仿宋" w:eastAsia="仿宋" w:cs="仿宋"/>
          <w:spacing w:val="6"/>
          <w:sz w:val="44"/>
          <w:szCs w:val="44"/>
        </w:rPr>
        <w:sectPr>
          <w:headerReference r:id="rId3" w:type="default"/>
          <w:footerReference r:id="rId5" w:type="default"/>
          <w:headerReference r:id="rId4" w:type="even"/>
          <w:footerReference r:id="rId6" w:type="even"/>
          <w:pgSz w:w="11906" w:h="16838"/>
          <w:pgMar w:top="1440" w:right="1797" w:bottom="1440" w:left="1797" w:header="851" w:footer="992" w:gutter="0"/>
          <w:pgNumType w:start="1"/>
          <w:cols w:space="425" w:num="1"/>
          <w:titlePg/>
          <w:docGrid w:linePitch="286" w:charSpace="0"/>
        </w:sectPr>
      </w:pPr>
      <w:r>
        <w:rPr>
          <w:rFonts w:hint="eastAsia" w:ascii="仿宋" w:hAnsi="仿宋" w:eastAsia="仿宋" w:cs="仿宋"/>
          <w:spacing w:val="6"/>
          <w:sz w:val="32"/>
          <w:szCs w:val="32"/>
        </w:rPr>
        <w:t>编制时间：202</w:t>
      </w:r>
      <w:r>
        <w:rPr>
          <w:rFonts w:hint="eastAsia" w:ascii="仿宋" w:hAnsi="仿宋" w:eastAsia="仿宋" w:cs="仿宋"/>
          <w:spacing w:val="6"/>
          <w:sz w:val="32"/>
          <w:szCs w:val="32"/>
          <w:lang w:val="en-US" w:eastAsia="zh-CN"/>
        </w:rPr>
        <w:t>3</w:t>
      </w:r>
      <w:r>
        <w:rPr>
          <w:rFonts w:hint="eastAsia" w:ascii="仿宋" w:hAnsi="仿宋" w:eastAsia="仿宋" w:cs="仿宋"/>
          <w:spacing w:val="6"/>
          <w:sz w:val="32"/>
          <w:szCs w:val="32"/>
        </w:rPr>
        <w:t>年</w:t>
      </w:r>
      <w:r>
        <w:rPr>
          <w:rFonts w:hint="eastAsia" w:ascii="仿宋" w:hAnsi="仿宋" w:eastAsia="仿宋" w:cs="仿宋"/>
          <w:spacing w:val="6"/>
          <w:sz w:val="32"/>
          <w:szCs w:val="32"/>
          <w:lang w:val="en-US" w:eastAsia="zh-CN"/>
        </w:rPr>
        <w:t>8月</w:t>
      </w:r>
    </w:p>
    <w:p>
      <w:pPr>
        <w:pageBreakBefore w:val="0"/>
        <w:kinsoku/>
        <w:wordWrap/>
        <w:overflowPunct/>
        <w:topLinePunct w:val="0"/>
        <w:bidi w:val="0"/>
        <w:spacing w:before="0" w:beforeLines="0" w:after="0" w:afterLines="0" w:line="570" w:lineRule="exact"/>
        <w:ind w:left="0" w:leftChars="0" w:right="0" w:rightChars="0" w:firstLine="0" w:firstLineChars="0"/>
        <w:jc w:val="center"/>
        <w:rPr>
          <w:rFonts w:hint="eastAsia" w:ascii="仿宋" w:hAnsi="仿宋" w:eastAsia="仿宋" w:cs="仿宋"/>
          <w:sz w:val="44"/>
          <w:szCs w:val="48"/>
        </w:rPr>
      </w:pPr>
      <w:r>
        <w:rPr>
          <w:rFonts w:hint="eastAsia" w:ascii="仿宋" w:hAnsi="仿宋" w:eastAsia="仿宋" w:cs="仿宋"/>
          <w:sz w:val="44"/>
          <w:szCs w:val="48"/>
        </w:rPr>
        <w:t>目录</w:t>
      </w:r>
    </w:p>
    <w:p>
      <w:pPr>
        <w:pStyle w:val="10"/>
        <w:tabs>
          <w:tab w:val="right" w:leader="dot" w:pos="8844"/>
        </w:tabs>
        <w:rPr>
          <w:sz w:val="24"/>
          <w:szCs w:val="28"/>
        </w:rPr>
      </w:pPr>
      <w:r>
        <w:rPr>
          <w:rFonts w:hint="eastAsia" w:ascii="仿宋" w:hAnsi="仿宋" w:eastAsia="仿宋" w:cs="仿宋"/>
        </w:rPr>
        <w:fldChar w:fldCharType="begin"/>
      </w:r>
      <w:r>
        <w:rPr>
          <w:rFonts w:hint="eastAsia" w:ascii="仿宋" w:hAnsi="仿宋" w:eastAsia="仿宋" w:cs="仿宋"/>
        </w:rPr>
        <w:instrText xml:space="preserve">TOC \o "1-2" \h \u </w:instrText>
      </w:r>
      <w:r>
        <w:rPr>
          <w:rFonts w:hint="eastAsia" w:ascii="仿宋" w:hAnsi="仿宋" w:eastAsia="仿宋" w:cs="仿宋"/>
        </w:rPr>
        <w:fldChar w:fldCharType="separate"/>
      </w: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_Toc20737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4"/>
          <w:lang w:eastAsia="zh-CN"/>
        </w:rPr>
        <w:t>一、概述</w:t>
      </w:r>
      <w:r>
        <w:rPr>
          <w:sz w:val="24"/>
          <w:szCs w:val="28"/>
        </w:rPr>
        <w:tab/>
      </w:r>
      <w:r>
        <w:rPr>
          <w:sz w:val="24"/>
          <w:szCs w:val="28"/>
        </w:rPr>
        <w:fldChar w:fldCharType="begin"/>
      </w:r>
      <w:r>
        <w:rPr>
          <w:sz w:val="24"/>
          <w:szCs w:val="28"/>
        </w:rPr>
        <w:instrText xml:space="preserve"> PAGEREF _Toc20737 \h </w:instrText>
      </w:r>
      <w:r>
        <w:rPr>
          <w:sz w:val="24"/>
          <w:szCs w:val="28"/>
        </w:rPr>
        <w:fldChar w:fldCharType="separate"/>
      </w:r>
      <w:r>
        <w:rPr>
          <w:sz w:val="24"/>
          <w:szCs w:val="28"/>
        </w:rPr>
        <w:t>1</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_Toc28989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 xml:space="preserve">（一） </w:t>
      </w:r>
      <w:r>
        <w:rPr>
          <w:rFonts w:hint="eastAsia" w:ascii="仿宋" w:hAnsi="仿宋" w:eastAsia="仿宋" w:cs="仿宋"/>
          <w:bCs/>
          <w:spacing w:val="6"/>
          <w:sz w:val="24"/>
          <w:szCs w:val="40"/>
        </w:rPr>
        <w:t>项目</w:t>
      </w:r>
      <w:r>
        <w:rPr>
          <w:rFonts w:hint="eastAsia" w:ascii="仿宋" w:hAnsi="仿宋" w:eastAsia="仿宋" w:cs="仿宋"/>
          <w:bCs/>
          <w:spacing w:val="6"/>
          <w:sz w:val="24"/>
          <w:szCs w:val="40"/>
          <w:lang w:eastAsia="zh-CN"/>
        </w:rPr>
        <w:t>概况</w:t>
      </w:r>
      <w:r>
        <w:rPr>
          <w:sz w:val="24"/>
          <w:szCs w:val="28"/>
        </w:rPr>
        <w:tab/>
      </w:r>
      <w:r>
        <w:rPr>
          <w:sz w:val="24"/>
          <w:szCs w:val="28"/>
        </w:rPr>
        <w:fldChar w:fldCharType="begin"/>
      </w:r>
      <w:r>
        <w:rPr>
          <w:sz w:val="24"/>
          <w:szCs w:val="28"/>
        </w:rPr>
        <w:instrText xml:space="preserve"> PAGEREF _Toc28989 \h </w:instrText>
      </w:r>
      <w:r>
        <w:rPr>
          <w:sz w:val="24"/>
          <w:szCs w:val="28"/>
        </w:rPr>
        <w:fldChar w:fldCharType="separate"/>
      </w:r>
      <w:r>
        <w:rPr>
          <w:sz w:val="24"/>
          <w:szCs w:val="28"/>
        </w:rPr>
        <w:t>1</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_Toc29806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（二） 编制依据</w:t>
      </w:r>
      <w:r>
        <w:rPr>
          <w:sz w:val="24"/>
          <w:szCs w:val="28"/>
        </w:rPr>
        <w:tab/>
      </w:r>
      <w:r>
        <w:rPr>
          <w:sz w:val="24"/>
          <w:szCs w:val="28"/>
        </w:rPr>
        <w:fldChar w:fldCharType="begin"/>
      </w:r>
      <w:r>
        <w:rPr>
          <w:sz w:val="24"/>
          <w:szCs w:val="28"/>
        </w:rPr>
        <w:instrText xml:space="preserve"> PAGEREF _Toc29806 \h </w:instrText>
      </w:r>
      <w:r>
        <w:rPr>
          <w:sz w:val="24"/>
          <w:szCs w:val="28"/>
        </w:rPr>
        <w:fldChar w:fldCharType="separate"/>
      </w:r>
      <w:r>
        <w:rPr>
          <w:sz w:val="24"/>
          <w:szCs w:val="28"/>
        </w:rPr>
        <w:t>1</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_Toc20956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（三） 主要结论和建议</w:t>
      </w:r>
      <w:r>
        <w:rPr>
          <w:sz w:val="24"/>
          <w:szCs w:val="28"/>
        </w:rPr>
        <w:tab/>
      </w:r>
      <w:r>
        <w:rPr>
          <w:sz w:val="24"/>
          <w:szCs w:val="28"/>
        </w:rPr>
        <w:fldChar w:fldCharType="begin"/>
      </w:r>
      <w:r>
        <w:rPr>
          <w:sz w:val="24"/>
          <w:szCs w:val="28"/>
        </w:rPr>
        <w:instrText xml:space="preserve"> PAGEREF _Toc20956 \h </w:instrText>
      </w:r>
      <w:r>
        <w:rPr>
          <w:sz w:val="24"/>
          <w:szCs w:val="28"/>
        </w:rPr>
        <w:fldChar w:fldCharType="separate"/>
      </w:r>
      <w:r>
        <w:rPr>
          <w:sz w:val="24"/>
          <w:szCs w:val="28"/>
        </w:rPr>
        <w:t>1</w:t>
      </w:r>
      <w:r>
        <w:rPr>
          <w:sz w:val="24"/>
          <w:szCs w:val="28"/>
        </w:rPr>
        <w:fldChar w:fldCharType="end"/>
      </w:r>
      <w:r>
        <w:rPr>
          <w:rFonts w:hint="eastAsia" w:ascii="仿宋" w:hAnsi="仿宋" w:eastAsia="仿宋" w:cs="仿宋"/>
          <w:sz w:val="24"/>
          <w:szCs w:val="28"/>
        </w:rPr>
        <w:fldChar w:fldCharType="end"/>
      </w:r>
    </w:p>
    <w:p>
      <w:pPr>
        <w:pStyle w:val="10"/>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_Toc3198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4"/>
          <w:lang w:eastAsia="zh-CN"/>
        </w:rPr>
        <w:t>二、项目建设背景和必要性</w:t>
      </w:r>
      <w:r>
        <w:rPr>
          <w:sz w:val="24"/>
          <w:szCs w:val="28"/>
        </w:rPr>
        <w:tab/>
      </w:r>
      <w:r>
        <w:rPr>
          <w:sz w:val="24"/>
          <w:szCs w:val="28"/>
        </w:rPr>
        <w:fldChar w:fldCharType="begin"/>
      </w:r>
      <w:r>
        <w:rPr>
          <w:sz w:val="24"/>
          <w:szCs w:val="28"/>
        </w:rPr>
        <w:instrText xml:space="preserve"> PAGEREF _Toc3198 \h </w:instrText>
      </w:r>
      <w:r>
        <w:rPr>
          <w:sz w:val="24"/>
          <w:szCs w:val="28"/>
        </w:rPr>
        <w:fldChar w:fldCharType="separate"/>
      </w:r>
      <w:r>
        <w:rPr>
          <w:sz w:val="24"/>
          <w:szCs w:val="28"/>
        </w:rPr>
        <w:t>2</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_Toc3077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（一）项目建设背景</w:t>
      </w:r>
      <w:r>
        <w:rPr>
          <w:sz w:val="24"/>
          <w:szCs w:val="28"/>
        </w:rPr>
        <w:tab/>
      </w:r>
      <w:r>
        <w:rPr>
          <w:sz w:val="24"/>
          <w:szCs w:val="28"/>
        </w:rPr>
        <w:fldChar w:fldCharType="begin"/>
      </w:r>
      <w:r>
        <w:rPr>
          <w:sz w:val="24"/>
          <w:szCs w:val="28"/>
        </w:rPr>
        <w:instrText xml:space="preserve"> PAGEREF _Toc3077 \h </w:instrText>
      </w:r>
      <w:r>
        <w:rPr>
          <w:sz w:val="24"/>
          <w:szCs w:val="28"/>
        </w:rPr>
        <w:fldChar w:fldCharType="separate"/>
      </w:r>
      <w:r>
        <w:rPr>
          <w:sz w:val="24"/>
          <w:szCs w:val="28"/>
        </w:rPr>
        <w:t>2</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_Toc18078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（二）规划政策符合性</w:t>
      </w:r>
      <w:r>
        <w:rPr>
          <w:sz w:val="24"/>
          <w:szCs w:val="28"/>
        </w:rPr>
        <w:tab/>
      </w:r>
      <w:r>
        <w:rPr>
          <w:sz w:val="24"/>
          <w:szCs w:val="28"/>
        </w:rPr>
        <w:fldChar w:fldCharType="begin"/>
      </w:r>
      <w:r>
        <w:rPr>
          <w:sz w:val="24"/>
          <w:szCs w:val="28"/>
        </w:rPr>
        <w:instrText xml:space="preserve"> PAGEREF _Toc18078 \h </w:instrText>
      </w:r>
      <w:r>
        <w:rPr>
          <w:sz w:val="24"/>
          <w:szCs w:val="28"/>
        </w:rPr>
        <w:fldChar w:fldCharType="separate"/>
      </w:r>
      <w:r>
        <w:rPr>
          <w:sz w:val="24"/>
          <w:szCs w:val="28"/>
        </w:rPr>
        <w:t>3</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_Toc21751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（三）项目建设必要性</w:t>
      </w:r>
      <w:r>
        <w:rPr>
          <w:sz w:val="24"/>
          <w:szCs w:val="28"/>
        </w:rPr>
        <w:tab/>
      </w:r>
      <w:r>
        <w:rPr>
          <w:sz w:val="24"/>
          <w:szCs w:val="28"/>
        </w:rPr>
        <w:fldChar w:fldCharType="begin"/>
      </w:r>
      <w:r>
        <w:rPr>
          <w:sz w:val="24"/>
          <w:szCs w:val="28"/>
        </w:rPr>
        <w:instrText xml:space="preserve"> PAGEREF _Toc21751 \h </w:instrText>
      </w:r>
      <w:r>
        <w:rPr>
          <w:sz w:val="24"/>
          <w:szCs w:val="28"/>
        </w:rPr>
        <w:fldChar w:fldCharType="separate"/>
      </w:r>
      <w:r>
        <w:rPr>
          <w:sz w:val="24"/>
          <w:szCs w:val="28"/>
        </w:rPr>
        <w:t>4</w:t>
      </w:r>
      <w:r>
        <w:rPr>
          <w:sz w:val="24"/>
          <w:szCs w:val="28"/>
        </w:rPr>
        <w:fldChar w:fldCharType="end"/>
      </w:r>
      <w:r>
        <w:rPr>
          <w:rFonts w:hint="eastAsia" w:ascii="仿宋" w:hAnsi="仿宋" w:eastAsia="仿宋" w:cs="仿宋"/>
          <w:sz w:val="24"/>
          <w:szCs w:val="28"/>
        </w:rPr>
        <w:fldChar w:fldCharType="end"/>
      </w:r>
    </w:p>
    <w:p>
      <w:pPr>
        <w:pStyle w:val="10"/>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_Toc29295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4"/>
          <w:lang w:eastAsia="zh-CN"/>
        </w:rPr>
        <w:t>三、项目需求分析与产出方案</w:t>
      </w:r>
      <w:r>
        <w:rPr>
          <w:sz w:val="24"/>
          <w:szCs w:val="28"/>
        </w:rPr>
        <w:tab/>
      </w:r>
      <w:r>
        <w:rPr>
          <w:sz w:val="24"/>
          <w:szCs w:val="28"/>
        </w:rPr>
        <w:fldChar w:fldCharType="begin"/>
      </w:r>
      <w:r>
        <w:rPr>
          <w:sz w:val="24"/>
          <w:szCs w:val="28"/>
        </w:rPr>
        <w:instrText xml:space="preserve"> PAGEREF _Toc29295 \h </w:instrText>
      </w:r>
      <w:r>
        <w:rPr>
          <w:sz w:val="24"/>
          <w:szCs w:val="28"/>
        </w:rPr>
        <w:fldChar w:fldCharType="separate"/>
      </w:r>
      <w:r>
        <w:rPr>
          <w:sz w:val="24"/>
          <w:szCs w:val="28"/>
        </w:rPr>
        <w:t>4</w:t>
      </w:r>
      <w:r>
        <w:rPr>
          <w:sz w:val="24"/>
          <w:szCs w:val="28"/>
        </w:rPr>
        <w:fldChar w:fldCharType="end"/>
      </w:r>
      <w:r>
        <w:rPr>
          <w:rFonts w:hint="eastAsia" w:ascii="仿宋" w:hAnsi="仿宋" w:eastAsia="仿宋" w:cs="仿宋"/>
          <w:sz w:val="24"/>
          <w:szCs w:val="28"/>
        </w:rPr>
        <w:fldChar w:fldCharType="end"/>
      </w:r>
    </w:p>
    <w:p>
      <w:pPr>
        <w:pStyle w:val="10"/>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_Toc30635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4"/>
          <w:lang w:eastAsia="zh-CN"/>
        </w:rPr>
        <w:t>四、 项目选址与要素保障</w:t>
      </w:r>
      <w:r>
        <w:rPr>
          <w:sz w:val="24"/>
          <w:szCs w:val="28"/>
        </w:rPr>
        <w:tab/>
      </w:r>
      <w:r>
        <w:rPr>
          <w:sz w:val="24"/>
          <w:szCs w:val="28"/>
        </w:rPr>
        <w:fldChar w:fldCharType="begin"/>
      </w:r>
      <w:r>
        <w:rPr>
          <w:sz w:val="24"/>
          <w:szCs w:val="28"/>
        </w:rPr>
        <w:instrText xml:space="preserve"> PAGEREF _Toc30635 \h </w:instrText>
      </w:r>
      <w:r>
        <w:rPr>
          <w:sz w:val="24"/>
          <w:szCs w:val="28"/>
        </w:rPr>
        <w:fldChar w:fldCharType="separate"/>
      </w:r>
      <w:r>
        <w:rPr>
          <w:sz w:val="24"/>
          <w:szCs w:val="28"/>
        </w:rPr>
        <w:t>5</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_Toc27004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（一）项目选址</w:t>
      </w:r>
      <w:r>
        <w:rPr>
          <w:sz w:val="24"/>
          <w:szCs w:val="28"/>
        </w:rPr>
        <w:tab/>
      </w:r>
      <w:r>
        <w:rPr>
          <w:sz w:val="24"/>
          <w:szCs w:val="28"/>
        </w:rPr>
        <w:fldChar w:fldCharType="begin"/>
      </w:r>
      <w:r>
        <w:rPr>
          <w:sz w:val="24"/>
          <w:szCs w:val="28"/>
        </w:rPr>
        <w:instrText xml:space="preserve"> PAGEREF _Toc27004 \h </w:instrText>
      </w:r>
      <w:r>
        <w:rPr>
          <w:sz w:val="24"/>
          <w:szCs w:val="28"/>
        </w:rPr>
        <w:fldChar w:fldCharType="separate"/>
      </w:r>
      <w:r>
        <w:rPr>
          <w:sz w:val="24"/>
          <w:szCs w:val="28"/>
        </w:rPr>
        <w:t>5</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_Toc44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（二）项目建设条件</w:t>
      </w:r>
      <w:r>
        <w:rPr>
          <w:sz w:val="24"/>
          <w:szCs w:val="28"/>
        </w:rPr>
        <w:tab/>
      </w:r>
      <w:r>
        <w:rPr>
          <w:sz w:val="24"/>
          <w:szCs w:val="28"/>
        </w:rPr>
        <w:fldChar w:fldCharType="begin"/>
      </w:r>
      <w:r>
        <w:rPr>
          <w:sz w:val="24"/>
          <w:szCs w:val="28"/>
        </w:rPr>
        <w:instrText xml:space="preserve"> PAGEREF _Toc44 \h </w:instrText>
      </w:r>
      <w:r>
        <w:rPr>
          <w:sz w:val="24"/>
          <w:szCs w:val="28"/>
        </w:rPr>
        <w:fldChar w:fldCharType="separate"/>
      </w:r>
      <w:r>
        <w:rPr>
          <w:sz w:val="24"/>
          <w:szCs w:val="28"/>
        </w:rPr>
        <w:t>6</w:t>
      </w:r>
      <w:r>
        <w:rPr>
          <w:sz w:val="24"/>
          <w:szCs w:val="28"/>
        </w:rPr>
        <w:fldChar w:fldCharType="end"/>
      </w:r>
      <w:r>
        <w:rPr>
          <w:rFonts w:hint="eastAsia" w:ascii="仿宋" w:hAnsi="仿宋" w:eastAsia="仿宋" w:cs="仿宋"/>
          <w:sz w:val="24"/>
          <w:szCs w:val="28"/>
        </w:rPr>
        <w:fldChar w:fldCharType="end"/>
      </w:r>
    </w:p>
    <w:p>
      <w:pPr>
        <w:pStyle w:val="10"/>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_Toc26019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4"/>
          <w:lang w:eastAsia="zh-CN"/>
        </w:rPr>
        <w:t>五、 项目建设方案</w:t>
      </w:r>
      <w:r>
        <w:rPr>
          <w:sz w:val="24"/>
          <w:szCs w:val="28"/>
        </w:rPr>
        <w:tab/>
      </w:r>
      <w:r>
        <w:rPr>
          <w:sz w:val="24"/>
          <w:szCs w:val="28"/>
        </w:rPr>
        <w:fldChar w:fldCharType="begin"/>
      </w:r>
      <w:r>
        <w:rPr>
          <w:sz w:val="24"/>
          <w:szCs w:val="28"/>
        </w:rPr>
        <w:instrText xml:space="preserve"> PAGEREF _Toc26019 \h </w:instrText>
      </w:r>
      <w:r>
        <w:rPr>
          <w:sz w:val="24"/>
          <w:szCs w:val="28"/>
        </w:rPr>
        <w:fldChar w:fldCharType="separate"/>
      </w:r>
      <w:r>
        <w:rPr>
          <w:sz w:val="24"/>
          <w:szCs w:val="28"/>
        </w:rPr>
        <w:t>8</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_Toc11991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（一）技术方案</w:t>
      </w:r>
      <w:r>
        <w:rPr>
          <w:sz w:val="24"/>
          <w:szCs w:val="28"/>
        </w:rPr>
        <w:tab/>
      </w:r>
      <w:r>
        <w:rPr>
          <w:sz w:val="24"/>
          <w:szCs w:val="28"/>
        </w:rPr>
        <w:fldChar w:fldCharType="begin"/>
      </w:r>
      <w:r>
        <w:rPr>
          <w:sz w:val="24"/>
          <w:szCs w:val="28"/>
        </w:rPr>
        <w:instrText xml:space="preserve"> PAGEREF _Toc11991 \h </w:instrText>
      </w:r>
      <w:r>
        <w:rPr>
          <w:sz w:val="24"/>
          <w:szCs w:val="28"/>
        </w:rPr>
        <w:fldChar w:fldCharType="separate"/>
      </w:r>
      <w:r>
        <w:rPr>
          <w:sz w:val="24"/>
          <w:szCs w:val="28"/>
        </w:rPr>
        <w:t>8</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_Toc17378 </w:instrText>
      </w:r>
      <w:r>
        <w:rPr>
          <w:rFonts w:hint="eastAsia" w:ascii="仿宋" w:hAnsi="仿宋" w:eastAsia="仿宋" w:cs="仿宋"/>
          <w:sz w:val="24"/>
          <w:szCs w:val="28"/>
        </w:rPr>
        <w:fldChar w:fldCharType="separate"/>
      </w:r>
      <w:r>
        <w:rPr>
          <w:rFonts w:hint="eastAsia" w:ascii="仿宋" w:hAnsi="仿宋" w:eastAsia="仿宋" w:cs="仿宋"/>
          <w:bCs w:val="0"/>
          <w:spacing w:val="6"/>
          <w:sz w:val="24"/>
          <w:szCs w:val="40"/>
        </w:rPr>
        <w:t>1</w:t>
      </w:r>
      <w:r>
        <w:rPr>
          <w:rFonts w:hint="eastAsia" w:ascii="仿宋" w:hAnsi="仿宋" w:eastAsia="仿宋" w:cs="仿宋"/>
          <w:bCs w:val="0"/>
          <w:spacing w:val="6"/>
          <w:sz w:val="24"/>
          <w:szCs w:val="40"/>
          <w:lang w:eastAsia="zh-CN"/>
        </w:rPr>
        <w:t>、</w:t>
      </w:r>
      <w:r>
        <w:rPr>
          <w:rFonts w:hint="eastAsia" w:ascii="仿宋" w:hAnsi="仿宋" w:eastAsia="仿宋" w:cs="仿宋"/>
          <w:bCs w:val="0"/>
          <w:spacing w:val="6"/>
          <w:sz w:val="24"/>
          <w:szCs w:val="40"/>
        </w:rPr>
        <w:t>项目设计（技术依据）</w:t>
      </w:r>
      <w:r>
        <w:rPr>
          <w:sz w:val="24"/>
          <w:szCs w:val="28"/>
        </w:rPr>
        <w:tab/>
      </w:r>
      <w:r>
        <w:rPr>
          <w:sz w:val="24"/>
          <w:szCs w:val="28"/>
        </w:rPr>
        <w:fldChar w:fldCharType="begin"/>
      </w:r>
      <w:r>
        <w:rPr>
          <w:sz w:val="24"/>
          <w:szCs w:val="28"/>
        </w:rPr>
        <w:instrText xml:space="preserve"> PAGEREF _Toc17378 \h </w:instrText>
      </w:r>
      <w:r>
        <w:rPr>
          <w:sz w:val="24"/>
          <w:szCs w:val="28"/>
        </w:rPr>
        <w:fldChar w:fldCharType="separate"/>
      </w:r>
      <w:r>
        <w:rPr>
          <w:sz w:val="24"/>
          <w:szCs w:val="28"/>
        </w:rPr>
        <w:t>8</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_Toc23166 </w:instrText>
      </w:r>
      <w:r>
        <w:rPr>
          <w:rFonts w:hint="eastAsia" w:ascii="仿宋" w:hAnsi="仿宋" w:eastAsia="仿宋" w:cs="仿宋"/>
          <w:sz w:val="24"/>
          <w:szCs w:val="28"/>
        </w:rPr>
        <w:fldChar w:fldCharType="separate"/>
      </w:r>
      <w:r>
        <w:rPr>
          <w:rFonts w:hint="eastAsia" w:ascii="仿宋" w:hAnsi="仿宋" w:eastAsia="仿宋" w:cs="仿宋"/>
          <w:spacing w:val="6"/>
          <w:sz w:val="24"/>
          <w:szCs w:val="40"/>
          <w:lang w:val="en-US" w:eastAsia="zh-CN"/>
        </w:rPr>
        <w:t>2、</w:t>
      </w:r>
      <w:r>
        <w:rPr>
          <w:rFonts w:hint="eastAsia" w:ascii="仿宋" w:hAnsi="仿宋" w:eastAsia="仿宋" w:cs="仿宋"/>
          <w:spacing w:val="6"/>
          <w:sz w:val="24"/>
          <w:szCs w:val="40"/>
        </w:rPr>
        <w:t>建设内容、规模、标准、投资设计等明细资料</w:t>
      </w:r>
      <w:r>
        <w:rPr>
          <w:sz w:val="24"/>
          <w:szCs w:val="28"/>
        </w:rPr>
        <w:tab/>
      </w:r>
      <w:r>
        <w:rPr>
          <w:sz w:val="24"/>
          <w:szCs w:val="28"/>
        </w:rPr>
        <w:fldChar w:fldCharType="begin"/>
      </w:r>
      <w:r>
        <w:rPr>
          <w:sz w:val="24"/>
          <w:szCs w:val="28"/>
        </w:rPr>
        <w:instrText xml:space="preserve"> PAGEREF _Toc23166 \h </w:instrText>
      </w:r>
      <w:r>
        <w:rPr>
          <w:sz w:val="24"/>
          <w:szCs w:val="28"/>
        </w:rPr>
        <w:fldChar w:fldCharType="separate"/>
      </w:r>
      <w:r>
        <w:rPr>
          <w:sz w:val="24"/>
          <w:szCs w:val="28"/>
        </w:rPr>
        <w:t>10</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_Toc24160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（二）工程方案</w:t>
      </w:r>
      <w:r>
        <w:rPr>
          <w:sz w:val="24"/>
          <w:szCs w:val="28"/>
        </w:rPr>
        <w:tab/>
      </w:r>
      <w:r>
        <w:rPr>
          <w:sz w:val="24"/>
          <w:szCs w:val="28"/>
        </w:rPr>
        <w:fldChar w:fldCharType="begin"/>
      </w:r>
      <w:r>
        <w:rPr>
          <w:sz w:val="24"/>
          <w:szCs w:val="28"/>
        </w:rPr>
        <w:instrText xml:space="preserve"> PAGEREF _Toc24160 \h </w:instrText>
      </w:r>
      <w:r>
        <w:rPr>
          <w:sz w:val="24"/>
          <w:szCs w:val="28"/>
        </w:rPr>
        <w:fldChar w:fldCharType="separate"/>
      </w:r>
      <w:r>
        <w:rPr>
          <w:sz w:val="24"/>
          <w:szCs w:val="28"/>
        </w:rPr>
        <w:t>10</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_Toc24772 </w:instrText>
      </w:r>
      <w:r>
        <w:rPr>
          <w:rFonts w:hint="eastAsia" w:ascii="仿宋" w:hAnsi="仿宋" w:eastAsia="仿宋" w:cs="仿宋"/>
          <w:sz w:val="24"/>
          <w:szCs w:val="28"/>
        </w:rPr>
        <w:fldChar w:fldCharType="separate"/>
      </w:r>
      <w:r>
        <w:rPr>
          <w:rFonts w:hint="eastAsia" w:ascii="仿宋" w:hAnsi="仿宋" w:eastAsia="仿宋" w:cs="仿宋"/>
          <w:bCs w:val="0"/>
          <w:spacing w:val="6"/>
          <w:sz w:val="24"/>
          <w:szCs w:val="40"/>
          <w:lang w:val="en-US" w:eastAsia="zh-CN"/>
        </w:rPr>
        <w:t>1、</w:t>
      </w:r>
      <w:r>
        <w:rPr>
          <w:rFonts w:hint="eastAsia" w:ascii="仿宋" w:hAnsi="仿宋" w:eastAsia="仿宋" w:cs="仿宋"/>
          <w:bCs w:val="0"/>
          <w:spacing w:val="6"/>
          <w:sz w:val="24"/>
          <w:szCs w:val="40"/>
        </w:rPr>
        <w:t>项目实施进度计划</w:t>
      </w:r>
      <w:r>
        <w:rPr>
          <w:sz w:val="24"/>
          <w:szCs w:val="28"/>
        </w:rPr>
        <w:tab/>
      </w:r>
      <w:r>
        <w:rPr>
          <w:sz w:val="24"/>
          <w:szCs w:val="28"/>
        </w:rPr>
        <w:fldChar w:fldCharType="begin"/>
      </w:r>
      <w:r>
        <w:rPr>
          <w:sz w:val="24"/>
          <w:szCs w:val="28"/>
        </w:rPr>
        <w:instrText xml:space="preserve"> PAGEREF _Toc24772 \h </w:instrText>
      </w:r>
      <w:r>
        <w:rPr>
          <w:sz w:val="24"/>
          <w:szCs w:val="28"/>
        </w:rPr>
        <w:fldChar w:fldCharType="separate"/>
      </w:r>
      <w:r>
        <w:rPr>
          <w:sz w:val="24"/>
          <w:szCs w:val="28"/>
        </w:rPr>
        <w:t>11</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_Toc16365 </w:instrText>
      </w:r>
      <w:r>
        <w:rPr>
          <w:rFonts w:hint="eastAsia" w:ascii="仿宋" w:hAnsi="仿宋" w:eastAsia="仿宋" w:cs="仿宋"/>
          <w:sz w:val="24"/>
          <w:szCs w:val="28"/>
        </w:rPr>
        <w:fldChar w:fldCharType="separate"/>
      </w:r>
      <w:r>
        <w:rPr>
          <w:rFonts w:hint="eastAsia" w:ascii="仿宋" w:hAnsi="仿宋" w:eastAsia="仿宋" w:cs="仿宋"/>
          <w:bCs w:val="0"/>
          <w:spacing w:val="6"/>
          <w:sz w:val="24"/>
          <w:szCs w:val="40"/>
          <w:lang w:val="en-US" w:eastAsia="zh-CN"/>
        </w:rPr>
        <w:t>2、招标方案</w:t>
      </w:r>
      <w:r>
        <w:rPr>
          <w:sz w:val="24"/>
          <w:szCs w:val="28"/>
        </w:rPr>
        <w:tab/>
      </w:r>
      <w:r>
        <w:rPr>
          <w:sz w:val="24"/>
          <w:szCs w:val="28"/>
        </w:rPr>
        <w:fldChar w:fldCharType="begin"/>
      </w:r>
      <w:r>
        <w:rPr>
          <w:sz w:val="24"/>
          <w:szCs w:val="28"/>
        </w:rPr>
        <w:instrText xml:space="preserve"> PAGEREF _Toc16365 \h </w:instrText>
      </w:r>
      <w:r>
        <w:rPr>
          <w:sz w:val="24"/>
          <w:szCs w:val="28"/>
        </w:rPr>
        <w:fldChar w:fldCharType="separate"/>
      </w:r>
      <w:r>
        <w:rPr>
          <w:sz w:val="24"/>
          <w:szCs w:val="28"/>
        </w:rPr>
        <w:t>11</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_Toc32295 </w:instrText>
      </w:r>
      <w:r>
        <w:rPr>
          <w:rFonts w:hint="eastAsia" w:ascii="仿宋" w:hAnsi="仿宋" w:eastAsia="仿宋" w:cs="仿宋"/>
          <w:sz w:val="24"/>
          <w:szCs w:val="28"/>
        </w:rPr>
        <w:fldChar w:fldCharType="separate"/>
      </w:r>
      <w:r>
        <w:rPr>
          <w:rFonts w:hint="eastAsia" w:ascii="仿宋" w:hAnsi="仿宋" w:eastAsia="仿宋" w:cs="仿宋"/>
          <w:bCs w:val="0"/>
          <w:spacing w:val="6"/>
          <w:sz w:val="24"/>
          <w:szCs w:val="40"/>
          <w:lang w:val="en-US" w:eastAsia="zh-CN"/>
        </w:rPr>
        <w:t>3、项目公告公示</w:t>
      </w:r>
      <w:r>
        <w:rPr>
          <w:sz w:val="24"/>
          <w:szCs w:val="28"/>
        </w:rPr>
        <w:tab/>
      </w:r>
      <w:r>
        <w:rPr>
          <w:sz w:val="24"/>
          <w:szCs w:val="28"/>
        </w:rPr>
        <w:fldChar w:fldCharType="begin"/>
      </w:r>
      <w:r>
        <w:rPr>
          <w:sz w:val="24"/>
          <w:szCs w:val="28"/>
        </w:rPr>
        <w:instrText xml:space="preserve"> PAGEREF _Toc32295 \h </w:instrText>
      </w:r>
      <w:r>
        <w:rPr>
          <w:sz w:val="24"/>
          <w:szCs w:val="28"/>
        </w:rPr>
        <w:fldChar w:fldCharType="separate"/>
      </w:r>
      <w:r>
        <w:rPr>
          <w:sz w:val="24"/>
          <w:szCs w:val="28"/>
        </w:rPr>
        <w:t>12</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_Toc17483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（三）建设管理方案</w:t>
      </w:r>
      <w:r>
        <w:rPr>
          <w:sz w:val="24"/>
          <w:szCs w:val="28"/>
        </w:rPr>
        <w:tab/>
      </w:r>
      <w:r>
        <w:rPr>
          <w:sz w:val="24"/>
          <w:szCs w:val="28"/>
        </w:rPr>
        <w:fldChar w:fldCharType="begin"/>
      </w:r>
      <w:r>
        <w:rPr>
          <w:sz w:val="24"/>
          <w:szCs w:val="28"/>
        </w:rPr>
        <w:instrText xml:space="preserve"> PAGEREF _Toc17483 \h </w:instrText>
      </w:r>
      <w:r>
        <w:rPr>
          <w:sz w:val="24"/>
          <w:szCs w:val="28"/>
        </w:rPr>
        <w:fldChar w:fldCharType="separate"/>
      </w:r>
      <w:r>
        <w:rPr>
          <w:sz w:val="24"/>
          <w:szCs w:val="28"/>
        </w:rPr>
        <w:t>12</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_Toc29591 </w:instrText>
      </w:r>
      <w:r>
        <w:rPr>
          <w:rFonts w:hint="eastAsia" w:ascii="仿宋" w:hAnsi="仿宋" w:eastAsia="仿宋" w:cs="仿宋"/>
          <w:sz w:val="24"/>
          <w:szCs w:val="28"/>
        </w:rPr>
        <w:fldChar w:fldCharType="separate"/>
      </w:r>
      <w:r>
        <w:rPr>
          <w:rFonts w:hint="eastAsia" w:ascii="仿宋" w:hAnsi="仿宋" w:eastAsia="仿宋" w:cs="仿宋"/>
          <w:bCs w:val="0"/>
          <w:spacing w:val="6"/>
          <w:sz w:val="24"/>
          <w:szCs w:val="40"/>
          <w:lang w:val="en-US" w:eastAsia="zh-CN"/>
        </w:rPr>
        <w:t>1、</w:t>
      </w:r>
      <w:r>
        <w:rPr>
          <w:rFonts w:hint="eastAsia" w:ascii="仿宋" w:hAnsi="仿宋" w:eastAsia="仿宋" w:cs="仿宋"/>
          <w:bCs w:val="0"/>
          <w:spacing w:val="6"/>
          <w:sz w:val="24"/>
          <w:szCs w:val="40"/>
        </w:rPr>
        <w:t>项目管理、监督检查制度</w:t>
      </w:r>
      <w:r>
        <w:rPr>
          <w:sz w:val="24"/>
          <w:szCs w:val="28"/>
        </w:rPr>
        <w:tab/>
      </w:r>
      <w:r>
        <w:rPr>
          <w:sz w:val="24"/>
          <w:szCs w:val="28"/>
        </w:rPr>
        <w:fldChar w:fldCharType="begin"/>
      </w:r>
      <w:r>
        <w:rPr>
          <w:sz w:val="24"/>
          <w:szCs w:val="28"/>
        </w:rPr>
        <w:instrText xml:space="preserve"> PAGEREF _Toc29591 \h </w:instrText>
      </w:r>
      <w:r>
        <w:rPr>
          <w:sz w:val="24"/>
          <w:szCs w:val="28"/>
        </w:rPr>
        <w:fldChar w:fldCharType="separate"/>
      </w:r>
      <w:r>
        <w:rPr>
          <w:sz w:val="24"/>
          <w:szCs w:val="28"/>
        </w:rPr>
        <w:t>12</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_Toc5120 </w:instrText>
      </w:r>
      <w:r>
        <w:rPr>
          <w:rFonts w:hint="eastAsia" w:ascii="仿宋" w:hAnsi="仿宋" w:eastAsia="仿宋" w:cs="仿宋"/>
          <w:sz w:val="24"/>
          <w:szCs w:val="28"/>
        </w:rPr>
        <w:fldChar w:fldCharType="separate"/>
      </w:r>
      <w:r>
        <w:rPr>
          <w:rFonts w:hint="eastAsia" w:ascii="仿宋" w:hAnsi="仿宋" w:eastAsia="仿宋" w:cs="仿宋"/>
          <w:bCs w:val="0"/>
          <w:spacing w:val="6"/>
          <w:sz w:val="24"/>
          <w:szCs w:val="40"/>
          <w:lang w:val="en-US" w:eastAsia="zh-CN"/>
        </w:rPr>
        <w:t>2、</w:t>
      </w:r>
      <w:r>
        <w:rPr>
          <w:rFonts w:hint="eastAsia" w:ascii="仿宋" w:hAnsi="仿宋" w:eastAsia="仿宋" w:cs="仿宋"/>
          <w:bCs w:val="0"/>
          <w:spacing w:val="6"/>
          <w:sz w:val="24"/>
          <w:szCs w:val="40"/>
        </w:rPr>
        <w:t>验收管理</w:t>
      </w:r>
      <w:r>
        <w:rPr>
          <w:sz w:val="24"/>
          <w:szCs w:val="28"/>
        </w:rPr>
        <w:tab/>
      </w:r>
      <w:r>
        <w:rPr>
          <w:sz w:val="24"/>
          <w:szCs w:val="28"/>
        </w:rPr>
        <w:fldChar w:fldCharType="begin"/>
      </w:r>
      <w:r>
        <w:rPr>
          <w:sz w:val="24"/>
          <w:szCs w:val="28"/>
        </w:rPr>
        <w:instrText xml:space="preserve"> PAGEREF _Toc5120 \h </w:instrText>
      </w:r>
      <w:r>
        <w:rPr>
          <w:sz w:val="24"/>
          <w:szCs w:val="28"/>
        </w:rPr>
        <w:fldChar w:fldCharType="separate"/>
      </w:r>
      <w:r>
        <w:rPr>
          <w:sz w:val="24"/>
          <w:szCs w:val="28"/>
        </w:rPr>
        <w:t>12</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_Toc19850 </w:instrText>
      </w:r>
      <w:r>
        <w:rPr>
          <w:rFonts w:hint="eastAsia" w:ascii="仿宋" w:hAnsi="仿宋" w:eastAsia="仿宋" w:cs="仿宋"/>
          <w:sz w:val="24"/>
          <w:szCs w:val="28"/>
        </w:rPr>
        <w:fldChar w:fldCharType="separate"/>
      </w:r>
      <w:r>
        <w:rPr>
          <w:rFonts w:hint="eastAsia" w:ascii="仿宋" w:hAnsi="仿宋" w:eastAsia="仿宋" w:cs="仿宋"/>
          <w:bCs w:val="0"/>
          <w:spacing w:val="6"/>
          <w:sz w:val="24"/>
          <w:szCs w:val="40"/>
          <w:lang w:val="en-US" w:eastAsia="zh-CN"/>
        </w:rPr>
        <w:t>3、</w:t>
      </w:r>
      <w:r>
        <w:rPr>
          <w:rFonts w:hint="eastAsia" w:ascii="仿宋" w:hAnsi="仿宋" w:eastAsia="仿宋" w:cs="仿宋"/>
          <w:bCs w:val="0"/>
          <w:spacing w:val="6"/>
          <w:sz w:val="24"/>
          <w:szCs w:val="40"/>
        </w:rPr>
        <w:t>运营模式和运营管理</w:t>
      </w:r>
      <w:r>
        <w:rPr>
          <w:sz w:val="24"/>
          <w:szCs w:val="28"/>
        </w:rPr>
        <w:tab/>
      </w:r>
      <w:r>
        <w:rPr>
          <w:sz w:val="24"/>
          <w:szCs w:val="28"/>
        </w:rPr>
        <w:fldChar w:fldCharType="begin"/>
      </w:r>
      <w:r>
        <w:rPr>
          <w:sz w:val="24"/>
          <w:szCs w:val="28"/>
        </w:rPr>
        <w:instrText xml:space="preserve"> PAGEREF _Toc19850 \h </w:instrText>
      </w:r>
      <w:r>
        <w:rPr>
          <w:sz w:val="24"/>
          <w:szCs w:val="28"/>
        </w:rPr>
        <w:fldChar w:fldCharType="separate"/>
      </w:r>
      <w:r>
        <w:rPr>
          <w:sz w:val="24"/>
          <w:szCs w:val="28"/>
        </w:rPr>
        <w:t>12</w:t>
      </w:r>
      <w:r>
        <w:rPr>
          <w:sz w:val="24"/>
          <w:szCs w:val="28"/>
        </w:rPr>
        <w:fldChar w:fldCharType="end"/>
      </w:r>
      <w:r>
        <w:rPr>
          <w:rFonts w:hint="eastAsia" w:ascii="仿宋" w:hAnsi="仿宋" w:eastAsia="仿宋" w:cs="仿宋"/>
          <w:sz w:val="24"/>
          <w:szCs w:val="28"/>
        </w:rPr>
        <w:fldChar w:fldCharType="end"/>
      </w:r>
    </w:p>
    <w:p>
      <w:pPr>
        <w:pStyle w:val="10"/>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_Toc8071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4"/>
          <w:lang w:eastAsia="zh-CN"/>
        </w:rPr>
        <w:t>六、 总投资及资金筹措</w:t>
      </w:r>
      <w:r>
        <w:rPr>
          <w:sz w:val="24"/>
          <w:szCs w:val="28"/>
        </w:rPr>
        <w:tab/>
      </w:r>
      <w:r>
        <w:rPr>
          <w:sz w:val="24"/>
          <w:szCs w:val="28"/>
        </w:rPr>
        <w:fldChar w:fldCharType="begin"/>
      </w:r>
      <w:r>
        <w:rPr>
          <w:sz w:val="24"/>
          <w:szCs w:val="28"/>
        </w:rPr>
        <w:instrText xml:space="preserve"> PAGEREF _Toc8071 \h </w:instrText>
      </w:r>
      <w:r>
        <w:rPr>
          <w:sz w:val="24"/>
          <w:szCs w:val="28"/>
        </w:rPr>
        <w:fldChar w:fldCharType="separate"/>
      </w:r>
      <w:r>
        <w:rPr>
          <w:sz w:val="24"/>
          <w:szCs w:val="28"/>
        </w:rPr>
        <w:t>13</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_Toc239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（一）工程概况</w:t>
      </w:r>
      <w:r>
        <w:rPr>
          <w:sz w:val="24"/>
          <w:szCs w:val="28"/>
        </w:rPr>
        <w:tab/>
      </w:r>
      <w:r>
        <w:rPr>
          <w:sz w:val="24"/>
          <w:szCs w:val="28"/>
        </w:rPr>
        <w:fldChar w:fldCharType="begin"/>
      </w:r>
      <w:r>
        <w:rPr>
          <w:sz w:val="24"/>
          <w:szCs w:val="28"/>
        </w:rPr>
        <w:instrText xml:space="preserve"> PAGEREF _Toc239 \h </w:instrText>
      </w:r>
      <w:r>
        <w:rPr>
          <w:sz w:val="24"/>
          <w:szCs w:val="28"/>
        </w:rPr>
        <w:fldChar w:fldCharType="separate"/>
      </w:r>
      <w:r>
        <w:rPr>
          <w:sz w:val="24"/>
          <w:szCs w:val="28"/>
        </w:rPr>
        <w:t>13</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_Toc7436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（二）编制依据及有关规定</w:t>
      </w:r>
      <w:r>
        <w:rPr>
          <w:sz w:val="24"/>
          <w:szCs w:val="28"/>
        </w:rPr>
        <w:tab/>
      </w:r>
      <w:r>
        <w:rPr>
          <w:sz w:val="24"/>
          <w:szCs w:val="28"/>
        </w:rPr>
        <w:fldChar w:fldCharType="begin"/>
      </w:r>
      <w:r>
        <w:rPr>
          <w:sz w:val="24"/>
          <w:szCs w:val="28"/>
        </w:rPr>
        <w:instrText xml:space="preserve"> PAGEREF _Toc7436 \h </w:instrText>
      </w:r>
      <w:r>
        <w:rPr>
          <w:sz w:val="24"/>
          <w:szCs w:val="28"/>
        </w:rPr>
        <w:fldChar w:fldCharType="separate"/>
      </w:r>
      <w:r>
        <w:rPr>
          <w:sz w:val="24"/>
          <w:szCs w:val="28"/>
        </w:rPr>
        <w:t>13</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_Toc29801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（三）工程估算</w:t>
      </w:r>
      <w:r>
        <w:rPr>
          <w:sz w:val="24"/>
          <w:szCs w:val="28"/>
        </w:rPr>
        <w:tab/>
      </w:r>
      <w:r>
        <w:rPr>
          <w:sz w:val="24"/>
          <w:szCs w:val="28"/>
        </w:rPr>
        <w:fldChar w:fldCharType="begin"/>
      </w:r>
      <w:r>
        <w:rPr>
          <w:sz w:val="24"/>
          <w:szCs w:val="28"/>
        </w:rPr>
        <w:instrText xml:space="preserve"> PAGEREF _Toc29801 \h </w:instrText>
      </w:r>
      <w:r>
        <w:rPr>
          <w:sz w:val="24"/>
          <w:szCs w:val="28"/>
        </w:rPr>
        <w:fldChar w:fldCharType="separate"/>
      </w:r>
      <w:r>
        <w:rPr>
          <w:sz w:val="24"/>
          <w:szCs w:val="28"/>
        </w:rPr>
        <w:t>14</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_Toc25889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（四）总投资及资金筹措方案</w:t>
      </w:r>
      <w:r>
        <w:rPr>
          <w:sz w:val="24"/>
          <w:szCs w:val="28"/>
        </w:rPr>
        <w:tab/>
      </w:r>
      <w:r>
        <w:rPr>
          <w:sz w:val="24"/>
          <w:szCs w:val="28"/>
        </w:rPr>
        <w:fldChar w:fldCharType="begin"/>
      </w:r>
      <w:r>
        <w:rPr>
          <w:sz w:val="24"/>
          <w:szCs w:val="28"/>
        </w:rPr>
        <w:instrText xml:space="preserve"> PAGEREF _Toc25889 \h </w:instrText>
      </w:r>
      <w:r>
        <w:rPr>
          <w:sz w:val="24"/>
          <w:szCs w:val="28"/>
        </w:rPr>
        <w:fldChar w:fldCharType="separate"/>
      </w:r>
      <w:r>
        <w:rPr>
          <w:sz w:val="24"/>
          <w:szCs w:val="28"/>
        </w:rPr>
        <w:t>14</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_Toc189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（五）资金使用计划</w:t>
      </w:r>
      <w:r>
        <w:rPr>
          <w:sz w:val="24"/>
          <w:szCs w:val="28"/>
        </w:rPr>
        <w:tab/>
      </w:r>
      <w:r>
        <w:rPr>
          <w:sz w:val="24"/>
          <w:szCs w:val="28"/>
        </w:rPr>
        <w:fldChar w:fldCharType="begin"/>
      </w:r>
      <w:r>
        <w:rPr>
          <w:sz w:val="24"/>
          <w:szCs w:val="28"/>
        </w:rPr>
        <w:instrText xml:space="preserve"> PAGEREF _Toc189 \h </w:instrText>
      </w:r>
      <w:r>
        <w:rPr>
          <w:sz w:val="24"/>
          <w:szCs w:val="28"/>
        </w:rPr>
        <w:fldChar w:fldCharType="separate"/>
      </w:r>
      <w:r>
        <w:rPr>
          <w:sz w:val="24"/>
          <w:szCs w:val="28"/>
        </w:rPr>
        <w:t>14</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_Toc11791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（六）项目工程预算表</w:t>
      </w:r>
      <w:r>
        <w:rPr>
          <w:sz w:val="24"/>
          <w:szCs w:val="28"/>
        </w:rPr>
        <w:tab/>
      </w:r>
      <w:r>
        <w:rPr>
          <w:sz w:val="24"/>
          <w:szCs w:val="28"/>
        </w:rPr>
        <w:fldChar w:fldCharType="begin"/>
      </w:r>
      <w:r>
        <w:rPr>
          <w:sz w:val="24"/>
          <w:szCs w:val="28"/>
        </w:rPr>
        <w:instrText xml:space="preserve"> PAGEREF _Toc11791 \h </w:instrText>
      </w:r>
      <w:r>
        <w:rPr>
          <w:sz w:val="24"/>
          <w:szCs w:val="28"/>
        </w:rPr>
        <w:fldChar w:fldCharType="separate"/>
      </w:r>
      <w:r>
        <w:rPr>
          <w:sz w:val="24"/>
          <w:szCs w:val="28"/>
        </w:rPr>
        <w:t>15</w:t>
      </w:r>
      <w:r>
        <w:rPr>
          <w:sz w:val="24"/>
          <w:szCs w:val="28"/>
        </w:rPr>
        <w:fldChar w:fldCharType="end"/>
      </w:r>
      <w:r>
        <w:rPr>
          <w:rFonts w:hint="eastAsia" w:ascii="仿宋" w:hAnsi="仿宋" w:eastAsia="仿宋" w:cs="仿宋"/>
          <w:sz w:val="24"/>
          <w:szCs w:val="28"/>
        </w:rPr>
        <w:fldChar w:fldCharType="end"/>
      </w:r>
    </w:p>
    <w:p>
      <w:pPr>
        <w:pStyle w:val="10"/>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_Toc2392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4"/>
          <w:lang w:eastAsia="zh-CN"/>
        </w:rPr>
        <w:t>七、 项目用工需求和劳务报酬测算</w:t>
      </w:r>
      <w:r>
        <w:rPr>
          <w:sz w:val="24"/>
          <w:szCs w:val="28"/>
        </w:rPr>
        <w:tab/>
      </w:r>
      <w:r>
        <w:rPr>
          <w:sz w:val="24"/>
          <w:szCs w:val="28"/>
        </w:rPr>
        <w:fldChar w:fldCharType="begin"/>
      </w:r>
      <w:r>
        <w:rPr>
          <w:sz w:val="24"/>
          <w:szCs w:val="28"/>
        </w:rPr>
        <w:instrText xml:space="preserve"> PAGEREF _Toc2392 \h </w:instrText>
      </w:r>
      <w:r>
        <w:rPr>
          <w:sz w:val="24"/>
          <w:szCs w:val="28"/>
        </w:rPr>
        <w:fldChar w:fldCharType="separate"/>
      </w:r>
      <w:r>
        <w:rPr>
          <w:sz w:val="24"/>
          <w:szCs w:val="28"/>
        </w:rPr>
        <w:t>15</w:t>
      </w:r>
      <w:r>
        <w:rPr>
          <w:sz w:val="24"/>
          <w:szCs w:val="28"/>
        </w:rPr>
        <w:fldChar w:fldCharType="end"/>
      </w:r>
      <w:r>
        <w:rPr>
          <w:rFonts w:hint="eastAsia" w:ascii="仿宋" w:hAnsi="仿宋" w:eastAsia="仿宋" w:cs="仿宋"/>
          <w:sz w:val="24"/>
          <w:szCs w:val="28"/>
        </w:rPr>
        <w:fldChar w:fldCharType="end"/>
      </w:r>
    </w:p>
    <w:p>
      <w:pPr>
        <w:pStyle w:val="10"/>
        <w:tabs>
          <w:tab w:val="right" w:leader="dot" w:pos="8844"/>
        </w:tabs>
        <w:rPr>
          <w:rFonts w:hint="eastAsia" w:ascii="仿宋" w:hAnsi="仿宋" w:eastAsia="仿宋" w:cs="仿宋"/>
        </w:rPr>
        <w:sectPr>
          <w:headerReference r:id="rId7" w:type="default"/>
          <w:footerReference r:id="rId8" w:type="default"/>
          <w:pgSz w:w="11906" w:h="16838"/>
          <w:pgMar w:top="2098" w:right="1531" w:bottom="1984" w:left="1531" w:header="851" w:footer="992" w:gutter="0"/>
          <w:pgNumType w:start="1"/>
          <w:cols w:space="425" w:num="1"/>
          <w:docGrid w:linePitch="286" w:charSpace="0"/>
        </w:sect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_Toc25260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4"/>
          <w:lang w:eastAsia="zh-CN"/>
        </w:rPr>
        <w:t>八、 务工组织</w:t>
      </w:r>
      <w:r>
        <w:rPr>
          <w:sz w:val="24"/>
          <w:szCs w:val="28"/>
        </w:rPr>
        <w:tab/>
      </w:r>
      <w:r>
        <w:rPr>
          <w:sz w:val="24"/>
          <w:szCs w:val="28"/>
        </w:rPr>
        <w:fldChar w:fldCharType="begin"/>
      </w:r>
      <w:r>
        <w:rPr>
          <w:sz w:val="24"/>
          <w:szCs w:val="28"/>
        </w:rPr>
        <w:instrText xml:space="preserve"> PAGEREF _Toc25260 \h </w:instrText>
      </w:r>
      <w:r>
        <w:rPr>
          <w:sz w:val="24"/>
          <w:szCs w:val="28"/>
        </w:rPr>
        <w:fldChar w:fldCharType="separate"/>
      </w:r>
      <w:r>
        <w:rPr>
          <w:sz w:val="24"/>
          <w:szCs w:val="28"/>
        </w:rPr>
        <w:t>17</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ind w:left="0" w:leftChars="0" w:firstLine="0" w:firstLineChars="0"/>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_Toc5718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（一）领导小组</w:t>
      </w:r>
      <w:r>
        <w:rPr>
          <w:sz w:val="24"/>
          <w:szCs w:val="28"/>
        </w:rPr>
        <w:tab/>
      </w:r>
      <w:r>
        <w:rPr>
          <w:sz w:val="24"/>
          <w:szCs w:val="28"/>
        </w:rPr>
        <w:fldChar w:fldCharType="begin"/>
      </w:r>
      <w:r>
        <w:rPr>
          <w:sz w:val="24"/>
          <w:szCs w:val="28"/>
        </w:rPr>
        <w:instrText xml:space="preserve"> PAGEREF _Toc5718 \h </w:instrText>
      </w:r>
      <w:r>
        <w:rPr>
          <w:sz w:val="24"/>
          <w:szCs w:val="28"/>
        </w:rPr>
        <w:fldChar w:fldCharType="separate"/>
      </w:r>
      <w:r>
        <w:rPr>
          <w:sz w:val="24"/>
          <w:szCs w:val="28"/>
        </w:rPr>
        <w:t>17</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_Toc30939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（二）工作任务</w:t>
      </w:r>
      <w:r>
        <w:rPr>
          <w:sz w:val="24"/>
          <w:szCs w:val="28"/>
        </w:rPr>
        <w:tab/>
      </w:r>
      <w:r>
        <w:rPr>
          <w:sz w:val="24"/>
          <w:szCs w:val="28"/>
        </w:rPr>
        <w:fldChar w:fldCharType="begin"/>
      </w:r>
      <w:r>
        <w:rPr>
          <w:sz w:val="24"/>
          <w:szCs w:val="28"/>
        </w:rPr>
        <w:instrText xml:space="preserve"> PAGEREF _Toc30939 \h </w:instrText>
      </w:r>
      <w:r>
        <w:rPr>
          <w:sz w:val="24"/>
          <w:szCs w:val="28"/>
        </w:rPr>
        <w:fldChar w:fldCharType="separate"/>
      </w:r>
      <w:r>
        <w:rPr>
          <w:sz w:val="24"/>
          <w:szCs w:val="28"/>
        </w:rPr>
        <w:t>17</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_Toc25458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（三）监督管理</w:t>
      </w:r>
      <w:r>
        <w:rPr>
          <w:sz w:val="24"/>
          <w:szCs w:val="28"/>
        </w:rPr>
        <w:tab/>
      </w:r>
      <w:r>
        <w:rPr>
          <w:sz w:val="24"/>
          <w:szCs w:val="28"/>
        </w:rPr>
        <w:fldChar w:fldCharType="begin"/>
      </w:r>
      <w:r>
        <w:rPr>
          <w:sz w:val="24"/>
          <w:szCs w:val="28"/>
        </w:rPr>
        <w:instrText xml:space="preserve"> PAGEREF _Toc25458 \h </w:instrText>
      </w:r>
      <w:r>
        <w:rPr>
          <w:sz w:val="24"/>
          <w:szCs w:val="28"/>
        </w:rPr>
        <w:fldChar w:fldCharType="separate"/>
      </w:r>
      <w:r>
        <w:rPr>
          <w:sz w:val="24"/>
          <w:szCs w:val="28"/>
        </w:rPr>
        <w:t>17</w:t>
      </w:r>
      <w:r>
        <w:rPr>
          <w:sz w:val="24"/>
          <w:szCs w:val="28"/>
        </w:rPr>
        <w:fldChar w:fldCharType="end"/>
      </w:r>
      <w:r>
        <w:rPr>
          <w:rFonts w:hint="eastAsia" w:ascii="仿宋" w:hAnsi="仿宋" w:eastAsia="仿宋" w:cs="仿宋"/>
          <w:sz w:val="24"/>
          <w:szCs w:val="28"/>
        </w:rPr>
        <w:fldChar w:fldCharType="end"/>
      </w:r>
    </w:p>
    <w:p>
      <w:pPr>
        <w:pStyle w:val="10"/>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_Toc3368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4"/>
          <w:lang w:eastAsia="zh-CN"/>
        </w:rPr>
        <w:t>九、 劳务报酬发放</w:t>
      </w:r>
      <w:r>
        <w:rPr>
          <w:sz w:val="24"/>
          <w:szCs w:val="28"/>
        </w:rPr>
        <w:tab/>
      </w:r>
      <w:r>
        <w:rPr>
          <w:sz w:val="24"/>
          <w:szCs w:val="28"/>
        </w:rPr>
        <w:fldChar w:fldCharType="begin"/>
      </w:r>
      <w:r>
        <w:rPr>
          <w:sz w:val="24"/>
          <w:szCs w:val="28"/>
        </w:rPr>
        <w:instrText xml:space="preserve"> PAGEREF _Toc3368 \h </w:instrText>
      </w:r>
      <w:r>
        <w:rPr>
          <w:sz w:val="24"/>
          <w:szCs w:val="28"/>
        </w:rPr>
        <w:fldChar w:fldCharType="separate"/>
      </w:r>
      <w:r>
        <w:rPr>
          <w:sz w:val="24"/>
          <w:szCs w:val="28"/>
        </w:rPr>
        <w:t>18</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_Toc13254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（一）劳务报酬测算</w:t>
      </w:r>
      <w:r>
        <w:rPr>
          <w:sz w:val="24"/>
          <w:szCs w:val="28"/>
        </w:rPr>
        <w:tab/>
      </w:r>
      <w:r>
        <w:rPr>
          <w:sz w:val="24"/>
          <w:szCs w:val="28"/>
        </w:rPr>
        <w:fldChar w:fldCharType="begin"/>
      </w:r>
      <w:r>
        <w:rPr>
          <w:sz w:val="24"/>
          <w:szCs w:val="28"/>
        </w:rPr>
        <w:instrText xml:space="preserve"> PAGEREF _Toc13254 \h </w:instrText>
      </w:r>
      <w:r>
        <w:rPr>
          <w:sz w:val="24"/>
          <w:szCs w:val="28"/>
        </w:rPr>
        <w:fldChar w:fldCharType="separate"/>
      </w:r>
      <w:r>
        <w:rPr>
          <w:sz w:val="24"/>
          <w:szCs w:val="28"/>
        </w:rPr>
        <w:t>18</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_Toc29721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（二）劳务报酬发放</w:t>
      </w:r>
      <w:r>
        <w:rPr>
          <w:sz w:val="24"/>
          <w:szCs w:val="28"/>
        </w:rPr>
        <w:tab/>
      </w:r>
      <w:r>
        <w:rPr>
          <w:sz w:val="24"/>
          <w:szCs w:val="28"/>
        </w:rPr>
        <w:fldChar w:fldCharType="begin"/>
      </w:r>
      <w:r>
        <w:rPr>
          <w:sz w:val="24"/>
          <w:szCs w:val="28"/>
        </w:rPr>
        <w:instrText xml:space="preserve"> PAGEREF _Toc29721 \h </w:instrText>
      </w:r>
      <w:r>
        <w:rPr>
          <w:sz w:val="24"/>
          <w:szCs w:val="28"/>
        </w:rPr>
        <w:fldChar w:fldCharType="separate"/>
      </w:r>
      <w:r>
        <w:rPr>
          <w:sz w:val="24"/>
          <w:szCs w:val="28"/>
        </w:rPr>
        <w:t>18</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_Toc30794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（三）带动群众务工增收预期成效</w:t>
      </w:r>
      <w:r>
        <w:rPr>
          <w:sz w:val="24"/>
          <w:szCs w:val="28"/>
        </w:rPr>
        <w:tab/>
      </w:r>
      <w:r>
        <w:rPr>
          <w:sz w:val="24"/>
          <w:szCs w:val="28"/>
        </w:rPr>
        <w:fldChar w:fldCharType="begin"/>
      </w:r>
      <w:r>
        <w:rPr>
          <w:sz w:val="24"/>
          <w:szCs w:val="28"/>
        </w:rPr>
        <w:instrText xml:space="preserve"> PAGEREF _Toc30794 \h </w:instrText>
      </w:r>
      <w:r>
        <w:rPr>
          <w:sz w:val="24"/>
          <w:szCs w:val="28"/>
        </w:rPr>
        <w:fldChar w:fldCharType="separate"/>
      </w:r>
      <w:r>
        <w:rPr>
          <w:sz w:val="24"/>
          <w:szCs w:val="28"/>
        </w:rPr>
        <w:t>18</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_Toc14121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（四）劳务报酬发放监督管理</w:t>
      </w:r>
      <w:r>
        <w:rPr>
          <w:sz w:val="24"/>
          <w:szCs w:val="28"/>
        </w:rPr>
        <w:tab/>
      </w:r>
      <w:r>
        <w:rPr>
          <w:sz w:val="24"/>
          <w:szCs w:val="28"/>
        </w:rPr>
        <w:fldChar w:fldCharType="begin"/>
      </w:r>
      <w:r>
        <w:rPr>
          <w:sz w:val="24"/>
          <w:szCs w:val="28"/>
        </w:rPr>
        <w:instrText xml:space="preserve"> PAGEREF _Toc14121 \h </w:instrText>
      </w:r>
      <w:r>
        <w:rPr>
          <w:sz w:val="24"/>
          <w:szCs w:val="28"/>
        </w:rPr>
        <w:fldChar w:fldCharType="separate"/>
      </w:r>
      <w:r>
        <w:rPr>
          <w:sz w:val="24"/>
          <w:szCs w:val="28"/>
        </w:rPr>
        <w:t>18</w:t>
      </w:r>
      <w:r>
        <w:rPr>
          <w:sz w:val="24"/>
          <w:szCs w:val="28"/>
        </w:rPr>
        <w:fldChar w:fldCharType="end"/>
      </w:r>
      <w:r>
        <w:rPr>
          <w:rFonts w:hint="eastAsia" w:ascii="仿宋" w:hAnsi="仿宋" w:eastAsia="仿宋" w:cs="仿宋"/>
          <w:sz w:val="24"/>
          <w:szCs w:val="28"/>
        </w:rPr>
        <w:fldChar w:fldCharType="end"/>
      </w:r>
    </w:p>
    <w:p>
      <w:pPr>
        <w:pStyle w:val="10"/>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_Toc1895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4"/>
          <w:lang w:eastAsia="zh-CN"/>
        </w:rPr>
        <w:t>十、 劳动技能培训</w:t>
      </w:r>
      <w:r>
        <w:rPr>
          <w:sz w:val="24"/>
          <w:szCs w:val="28"/>
        </w:rPr>
        <w:tab/>
      </w:r>
      <w:r>
        <w:rPr>
          <w:sz w:val="24"/>
          <w:szCs w:val="28"/>
        </w:rPr>
        <w:fldChar w:fldCharType="begin"/>
      </w:r>
      <w:r>
        <w:rPr>
          <w:sz w:val="24"/>
          <w:szCs w:val="28"/>
        </w:rPr>
        <w:instrText xml:space="preserve"> PAGEREF _Toc1895 \h </w:instrText>
      </w:r>
      <w:r>
        <w:rPr>
          <w:sz w:val="24"/>
          <w:szCs w:val="28"/>
        </w:rPr>
        <w:fldChar w:fldCharType="separate"/>
      </w:r>
      <w:r>
        <w:rPr>
          <w:sz w:val="24"/>
          <w:szCs w:val="28"/>
        </w:rPr>
        <w:t>19</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_Toc25229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（一）技能培训对象和内容</w:t>
      </w:r>
      <w:r>
        <w:rPr>
          <w:sz w:val="24"/>
          <w:szCs w:val="28"/>
        </w:rPr>
        <w:tab/>
      </w:r>
      <w:r>
        <w:rPr>
          <w:sz w:val="24"/>
          <w:szCs w:val="28"/>
        </w:rPr>
        <w:fldChar w:fldCharType="begin"/>
      </w:r>
      <w:r>
        <w:rPr>
          <w:sz w:val="24"/>
          <w:szCs w:val="28"/>
        </w:rPr>
        <w:instrText xml:space="preserve"> PAGEREF _Toc25229 \h </w:instrText>
      </w:r>
      <w:r>
        <w:rPr>
          <w:sz w:val="24"/>
          <w:szCs w:val="28"/>
        </w:rPr>
        <w:fldChar w:fldCharType="separate"/>
      </w:r>
      <w:r>
        <w:rPr>
          <w:sz w:val="24"/>
          <w:szCs w:val="28"/>
        </w:rPr>
        <w:t>19</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_Toc22053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（二）培训方式</w:t>
      </w:r>
      <w:r>
        <w:rPr>
          <w:sz w:val="24"/>
          <w:szCs w:val="28"/>
        </w:rPr>
        <w:tab/>
      </w:r>
      <w:r>
        <w:rPr>
          <w:sz w:val="24"/>
          <w:szCs w:val="28"/>
        </w:rPr>
        <w:fldChar w:fldCharType="begin"/>
      </w:r>
      <w:r>
        <w:rPr>
          <w:sz w:val="24"/>
          <w:szCs w:val="28"/>
        </w:rPr>
        <w:instrText xml:space="preserve"> PAGEREF _Toc22053 \h </w:instrText>
      </w:r>
      <w:r>
        <w:rPr>
          <w:sz w:val="24"/>
          <w:szCs w:val="28"/>
        </w:rPr>
        <w:fldChar w:fldCharType="separate"/>
      </w:r>
      <w:r>
        <w:rPr>
          <w:sz w:val="24"/>
          <w:szCs w:val="28"/>
        </w:rPr>
        <w:t>19</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_Toc29237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（三）培训时间及要求</w:t>
      </w:r>
      <w:r>
        <w:rPr>
          <w:sz w:val="24"/>
          <w:szCs w:val="28"/>
        </w:rPr>
        <w:tab/>
      </w:r>
      <w:r>
        <w:rPr>
          <w:sz w:val="24"/>
          <w:szCs w:val="28"/>
        </w:rPr>
        <w:fldChar w:fldCharType="begin"/>
      </w:r>
      <w:r>
        <w:rPr>
          <w:sz w:val="24"/>
          <w:szCs w:val="28"/>
        </w:rPr>
        <w:instrText xml:space="preserve"> PAGEREF _Toc29237 \h </w:instrText>
      </w:r>
      <w:r>
        <w:rPr>
          <w:sz w:val="24"/>
          <w:szCs w:val="28"/>
        </w:rPr>
        <w:fldChar w:fldCharType="separate"/>
      </w:r>
      <w:r>
        <w:rPr>
          <w:sz w:val="24"/>
          <w:szCs w:val="28"/>
        </w:rPr>
        <w:t>19</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_Toc26547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（四）培训经费来源</w:t>
      </w:r>
      <w:r>
        <w:rPr>
          <w:sz w:val="24"/>
          <w:szCs w:val="28"/>
        </w:rPr>
        <w:tab/>
      </w:r>
      <w:r>
        <w:rPr>
          <w:sz w:val="24"/>
          <w:szCs w:val="28"/>
        </w:rPr>
        <w:fldChar w:fldCharType="begin"/>
      </w:r>
      <w:r>
        <w:rPr>
          <w:sz w:val="24"/>
          <w:szCs w:val="28"/>
        </w:rPr>
        <w:instrText xml:space="preserve"> PAGEREF _Toc26547 \h </w:instrText>
      </w:r>
      <w:r>
        <w:rPr>
          <w:sz w:val="24"/>
          <w:szCs w:val="28"/>
        </w:rPr>
        <w:fldChar w:fldCharType="separate"/>
      </w:r>
      <w:r>
        <w:rPr>
          <w:sz w:val="24"/>
          <w:szCs w:val="28"/>
        </w:rPr>
        <w:t>19</w:t>
      </w:r>
      <w:r>
        <w:rPr>
          <w:sz w:val="24"/>
          <w:szCs w:val="28"/>
        </w:rPr>
        <w:fldChar w:fldCharType="end"/>
      </w:r>
      <w:r>
        <w:rPr>
          <w:rFonts w:hint="eastAsia" w:ascii="仿宋" w:hAnsi="仿宋" w:eastAsia="仿宋" w:cs="仿宋"/>
          <w:sz w:val="24"/>
          <w:szCs w:val="28"/>
        </w:rPr>
        <w:fldChar w:fldCharType="end"/>
      </w:r>
    </w:p>
    <w:p>
      <w:pPr>
        <w:pStyle w:val="10"/>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_Toc24476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4"/>
          <w:lang w:eastAsia="zh-CN"/>
        </w:rPr>
        <w:t>十一、 赈济模式</w:t>
      </w:r>
      <w:r>
        <w:rPr>
          <w:sz w:val="24"/>
          <w:szCs w:val="28"/>
        </w:rPr>
        <w:tab/>
      </w:r>
      <w:r>
        <w:rPr>
          <w:sz w:val="24"/>
          <w:szCs w:val="28"/>
        </w:rPr>
        <w:fldChar w:fldCharType="begin"/>
      </w:r>
      <w:r>
        <w:rPr>
          <w:sz w:val="24"/>
          <w:szCs w:val="28"/>
        </w:rPr>
        <w:instrText xml:space="preserve"> PAGEREF _Toc24476 \h </w:instrText>
      </w:r>
      <w:r>
        <w:rPr>
          <w:sz w:val="24"/>
          <w:szCs w:val="28"/>
        </w:rPr>
        <w:fldChar w:fldCharType="separate"/>
      </w:r>
      <w:r>
        <w:rPr>
          <w:sz w:val="24"/>
          <w:szCs w:val="28"/>
        </w:rPr>
        <w:t>20</w:t>
      </w:r>
      <w:r>
        <w:rPr>
          <w:sz w:val="24"/>
          <w:szCs w:val="28"/>
        </w:rPr>
        <w:fldChar w:fldCharType="end"/>
      </w:r>
      <w:r>
        <w:rPr>
          <w:rFonts w:hint="eastAsia" w:ascii="仿宋" w:hAnsi="仿宋" w:eastAsia="仿宋" w:cs="仿宋"/>
          <w:sz w:val="24"/>
          <w:szCs w:val="28"/>
        </w:rPr>
        <w:fldChar w:fldCharType="end"/>
      </w:r>
    </w:p>
    <w:p>
      <w:pPr>
        <w:pStyle w:val="10"/>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_Toc9289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4"/>
          <w:lang w:eastAsia="zh-CN"/>
        </w:rPr>
        <w:t>十二、 项目影响效果分析</w:t>
      </w:r>
      <w:r>
        <w:rPr>
          <w:sz w:val="24"/>
          <w:szCs w:val="28"/>
        </w:rPr>
        <w:tab/>
      </w:r>
      <w:r>
        <w:rPr>
          <w:sz w:val="24"/>
          <w:szCs w:val="28"/>
        </w:rPr>
        <w:fldChar w:fldCharType="begin"/>
      </w:r>
      <w:r>
        <w:rPr>
          <w:sz w:val="24"/>
          <w:szCs w:val="28"/>
        </w:rPr>
        <w:instrText xml:space="preserve"> PAGEREF _Toc9289 \h </w:instrText>
      </w:r>
      <w:r>
        <w:rPr>
          <w:sz w:val="24"/>
          <w:szCs w:val="28"/>
        </w:rPr>
        <w:fldChar w:fldCharType="separate"/>
      </w:r>
      <w:r>
        <w:rPr>
          <w:sz w:val="24"/>
          <w:szCs w:val="28"/>
        </w:rPr>
        <w:t>20</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_Toc29551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（一）经济影响</w:t>
      </w:r>
      <w:r>
        <w:rPr>
          <w:sz w:val="24"/>
          <w:szCs w:val="28"/>
        </w:rPr>
        <w:tab/>
      </w:r>
      <w:r>
        <w:rPr>
          <w:sz w:val="24"/>
          <w:szCs w:val="28"/>
        </w:rPr>
        <w:fldChar w:fldCharType="begin"/>
      </w:r>
      <w:r>
        <w:rPr>
          <w:sz w:val="24"/>
          <w:szCs w:val="28"/>
        </w:rPr>
        <w:instrText xml:space="preserve"> PAGEREF _Toc29551 \h </w:instrText>
      </w:r>
      <w:r>
        <w:rPr>
          <w:sz w:val="24"/>
          <w:szCs w:val="28"/>
        </w:rPr>
        <w:fldChar w:fldCharType="separate"/>
      </w:r>
      <w:r>
        <w:rPr>
          <w:sz w:val="24"/>
          <w:szCs w:val="28"/>
        </w:rPr>
        <w:t>20</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_Toc19336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（二）社会影响分析</w:t>
      </w:r>
      <w:r>
        <w:rPr>
          <w:sz w:val="24"/>
          <w:szCs w:val="28"/>
        </w:rPr>
        <w:tab/>
      </w:r>
      <w:r>
        <w:rPr>
          <w:sz w:val="24"/>
          <w:szCs w:val="28"/>
        </w:rPr>
        <w:fldChar w:fldCharType="begin"/>
      </w:r>
      <w:r>
        <w:rPr>
          <w:sz w:val="24"/>
          <w:szCs w:val="28"/>
        </w:rPr>
        <w:instrText xml:space="preserve"> PAGEREF _Toc19336 \h </w:instrText>
      </w:r>
      <w:r>
        <w:rPr>
          <w:sz w:val="24"/>
          <w:szCs w:val="28"/>
        </w:rPr>
        <w:fldChar w:fldCharType="separate"/>
      </w:r>
      <w:r>
        <w:rPr>
          <w:sz w:val="24"/>
          <w:szCs w:val="28"/>
        </w:rPr>
        <w:t>20</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_Toc32265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（三）生态环境影响分析</w:t>
      </w:r>
      <w:r>
        <w:rPr>
          <w:sz w:val="24"/>
          <w:szCs w:val="28"/>
        </w:rPr>
        <w:tab/>
      </w:r>
      <w:r>
        <w:rPr>
          <w:sz w:val="24"/>
          <w:szCs w:val="28"/>
        </w:rPr>
        <w:fldChar w:fldCharType="begin"/>
      </w:r>
      <w:r>
        <w:rPr>
          <w:sz w:val="24"/>
          <w:szCs w:val="28"/>
        </w:rPr>
        <w:instrText xml:space="preserve"> PAGEREF _Toc32265 \h </w:instrText>
      </w:r>
      <w:r>
        <w:rPr>
          <w:sz w:val="24"/>
          <w:szCs w:val="28"/>
        </w:rPr>
        <w:fldChar w:fldCharType="separate"/>
      </w:r>
      <w:r>
        <w:rPr>
          <w:sz w:val="24"/>
          <w:szCs w:val="28"/>
        </w:rPr>
        <w:t>21</w:t>
      </w:r>
      <w:r>
        <w:rPr>
          <w:sz w:val="24"/>
          <w:szCs w:val="28"/>
        </w:rPr>
        <w:fldChar w:fldCharType="end"/>
      </w:r>
      <w:r>
        <w:rPr>
          <w:rFonts w:hint="eastAsia" w:ascii="仿宋" w:hAnsi="仿宋" w:eastAsia="仿宋" w:cs="仿宋"/>
          <w:sz w:val="24"/>
          <w:szCs w:val="28"/>
        </w:rPr>
        <w:fldChar w:fldCharType="end"/>
      </w:r>
    </w:p>
    <w:p>
      <w:pPr>
        <w:pStyle w:val="10"/>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_Toc21460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4"/>
          <w:lang w:eastAsia="zh-CN"/>
        </w:rPr>
        <w:t>十三、 项目风险管控方案</w:t>
      </w:r>
      <w:r>
        <w:rPr>
          <w:sz w:val="24"/>
          <w:szCs w:val="28"/>
        </w:rPr>
        <w:tab/>
      </w:r>
      <w:r>
        <w:rPr>
          <w:sz w:val="24"/>
          <w:szCs w:val="28"/>
        </w:rPr>
        <w:fldChar w:fldCharType="begin"/>
      </w:r>
      <w:r>
        <w:rPr>
          <w:sz w:val="24"/>
          <w:szCs w:val="28"/>
        </w:rPr>
        <w:instrText xml:space="preserve"> PAGEREF _Toc21460 \h </w:instrText>
      </w:r>
      <w:r>
        <w:rPr>
          <w:sz w:val="24"/>
          <w:szCs w:val="28"/>
        </w:rPr>
        <w:fldChar w:fldCharType="separate"/>
      </w:r>
      <w:r>
        <w:rPr>
          <w:sz w:val="24"/>
          <w:szCs w:val="28"/>
        </w:rPr>
        <w:t>22</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_Toc29052 </w:instrText>
      </w:r>
      <w:r>
        <w:rPr>
          <w:rFonts w:hint="eastAsia" w:ascii="仿宋" w:hAnsi="仿宋" w:eastAsia="仿宋" w:cs="仿宋"/>
          <w:sz w:val="24"/>
          <w:szCs w:val="28"/>
        </w:rPr>
        <w:fldChar w:fldCharType="separate"/>
      </w:r>
      <w:r>
        <w:rPr>
          <w:rFonts w:hint="eastAsia" w:ascii="仿宋" w:hAnsi="仿宋" w:eastAsia="仿宋" w:cs="仿宋"/>
          <w:bCs w:val="0"/>
          <w:spacing w:val="6"/>
          <w:sz w:val="24"/>
          <w:szCs w:val="40"/>
          <w:lang w:val="en-US" w:eastAsia="zh-CN"/>
        </w:rPr>
        <w:t>1、</w:t>
      </w:r>
      <w:r>
        <w:rPr>
          <w:rFonts w:hint="eastAsia" w:ascii="仿宋" w:hAnsi="仿宋" w:eastAsia="仿宋" w:cs="仿宋"/>
          <w:bCs w:val="0"/>
          <w:spacing w:val="6"/>
          <w:sz w:val="24"/>
          <w:szCs w:val="40"/>
          <w:lang w:eastAsia="zh-CN"/>
        </w:rPr>
        <w:t>风险识别与评价</w:t>
      </w:r>
      <w:r>
        <w:rPr>
          <w:sz w:val="24"/>
          <w:szCs w:val="28"/>
        </w:rPr>
        <w:tab/>
      </w:r>
      <w:r>
        <w:rPr>
          <w:sz w:val="24"/>
          <w:szCs w:val="28"/>
        </w:rPr>
        <w:fldChar w:fldCharType="begin"/>
      </w:r>
      <w:r>
        <w:rPr>
          <w:sz w:val="24"/>
          <w:szCs w:val="28"/>
        </w:rPr>
        <w:instrText xml:space="preserve"> PAGEREF _Toc29052 \h </w:instrText>
      </w:r>
      <w:r>
        <w:rPr>
          <w:sz w:val="24"/>
          <w:szCs w:val="28"/>
        </w:rPr>
        <w:fldChar w:fldCharType="separate"/>
      </w:r>
      <w:r>
        <w:rPr>
          <w:sz w:val="24"/>
          <w:szCs w:val="28"/>
        </w:rPr>
        <w:t>22</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_Toc18074 </w:instrText>
      </w:r>
      <w:r>
        <w:rPr>
          <w:rFonts w:hint="eastAsia" w:ascii="仿宋" w:hAnsi="仿宋" w:eastAsia="仿宋" w:cs="仿宋"/>
          <w:sz w:val="24"/>
          <w:szCs w:val="28"/>
        </w:rPr>
        <w:fldChar w:fldCharType="separate"/>
      </w:r>
      <w:r>
        <w:rPr>
          <w:rFonts w:hint="eastAsia" w:ascii="仿宋" w:hAnsi="仿宋" w:eastAsia="仿宋" w:cs="仿宋"/>
          <w:spacing w:val="6"/>
          <w:sz w:val="24"/>
          <w:szCs w:val="40"/>
          <w:lang w:eastAsia="zh-CN"/>
        </w:rPr>
        <w:t>1项目风险预测与防范</w:t>
      </w:r>
      <w:r>
        <w:rPr>
          <w:sz w:val="24"/>
          <w:szCs w:val="28"/>
        </w:rPr>
        <w:tab/>
      </w:r>
      <w:r>
        <w:rPr>
          <w:sz w:val="24"/>
          <w:szCs w:val="28"/>
        </w:rPr>
        <w:fldChar w:fldCharType="begin"/>
      </w:r>
      <w:r>
        <w:rPr>
          <w:sz w:val="24"/>
          <w:szCs w:val="28"/>
        </w:rPr>
        <w:instrText xml:space="preserve"> PAGEREF _Toc18074 \h </w:instrText>
      </w:r>
      <w:r>
        <w:rPr>
          <w:sz w:val="24"/>
          <w:szCs w:val="28"/>
        </w:rPr>
        <w:fldChar w:fldCharType="separate"/>
      </w:r>
      <w:r>
        <w:rPr>
          <w:sz w:val="24"/>
          <w:szCs w:val="28"/>
        </w:rPr>
        <w:t>25</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_Toc23408 </w:instrText>
      </w:r>
      <w:r>
        <w:rPr>
          <w:rFonts w:hint="eastAsia" w:ascii="仿宋" w:hAnsi="仿宋" w:eastAsia="仿宋" w:cs="仿宋"/>
          <w:sz w:val="24"/>
          <w:szCs w:val="28"/>
        </w:rPr>
        <w:fldChar w:fldCharType="separate"/>
      </w:r>
      <w:r>
        <w:rPr>
          <w:rFonts w:hint="eastAsia" w:ascii="仿宋" w:hAnsi="仿宋" w:eastAsia="仿宋" w:cs="仿宋"/>
          <w:spacing w:val="6"/>
          <w:sz w:val="24"/>
          <w:szCs w:val="40"/>
          <w:lang w:eastAsia="zh-CN"/>
        </w:rPr>
        <w:t>2事故应急预案措施</w:t>
      </w:r>
      <w:r>
        <w:rPr>
          <w:sz w:val="24"/>
          <w:szCs w:val="28"/>
        </w:rPr>
        <w:tab/>
      </w:r>
      <w:r>
        <w:rPr>
          <w:sz w:val="24"/>
          <w:szCs w:val="28"/>
        </w:rPr>
        <w:fldChar w:fldCharType="begin"/>
      </w:r>
      <w:r>
        <w:rPr>
          <w:sz w:val="24"/>
          <w:szCs w:val="28"/>
        </w:rPr>
        <w:instrText xml:space="preserve"> PAGEREF _Toc23408 \h </w:instrText>
      </w:r>
      <w:r>
        <w:rPr>
          <w:sz w:val="24"/>
          <w:szCs w:val="28"/>
        </w:rPr>
        <w:fldChar w:fldCharType="separate"/>
      </w:r>
      <w:r>
        <w:rPr>
          <w:sz w:val="24"/>
          <w:szCs w:val="28"/>
        </w:rPr>
        <w:t>25</w:t>
      </w:r>
      <w:r>
        <w:rPr>
          <w:sz w:val="24"/>
          <w:szCs w:val="28"/>
        </w:rPr>
        <w:fldChar w:fldCharType="end"/>
      </w:r>
      <w:r>
        <w:rPr>
          <w:rFonts w:hint="eastAsia" w:ascii="仿宋" w:hAnsi="仿宋" w:eastAsia="仿宋" w:cs="仿宋"/>
          <w:sz w:val="24"/>
          <w:szCs w:val="28"/>
        </w:rPr>
        <w:fldChar w:fldCharType="end"/>
      </w:r>
    </w:p>
    <w:p>
      <w:pPr>
        <w:pStyle w:val="10"/>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_Toc17675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4"/>
          <w:lang w:eastAsia="zh-CN"/>
        </w:rPr>
        <w:t>十四、 保障措施</w:t>
      </w:r>
      <w:r>
        <w:rPr>
          <w:sz w:val="24"/>
          <w:szCs w:val="28"/>
        </w:rPr>
        <w:tab/>
      </w:r>
      <w:r>
        <w:rPr>
          <w:sz w:val="24"/>
          <w:szCs w:val="28"/>
        </w:rPr>
        <w:fldChar w:fldCharType="begin"/>
      </w:r>
      <w:r>
        <w:rPr>
          <w:sz w:val="24"/>
          <w:szCs w:val="28"/>
        </w:rPr>
        <w:instrText xml:space="preserve"> PAGEREF _Toc17675 \h </w:instrText>
      </w:r>
      <w:r>
        <w:rPr>
          <w:sz w:val="24"/>
          <w:szCs w:val="28"/>
        </w:rPr>
        <w:fldChar w:fldCharType="separate"/>
      </w:r>
      <w:r>
        <w:rPr>
          <w:sz w:val="24"/>
          <w:szCs w:val="28"/>
        </w:rPr>
        <w:t>26</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_Toc8662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（一）组织保障</w:t>
      </w:r>
      <w:r>
        <w:rPr>
          <w:sz w:val="24"/>
          <w:szCs w:val="28"/>
        </w:rPr>
        <w:tab/>
      </w:r>
      <w:r>
        <w:rPr>
          <w:sz w:val="24"/>
          <w:szCs w:val="28"/>
        </w:rPr>
        <w:fldChar w:fldCharType="begin"/>
      </w:r>
      <w:r>
        <w:rPr>
          <w:sz w:val="24"/>
          <w:szCs w:val="28"/>
        </w:rPr>
        <w:instrText xml:space="preserve"> PAGEREF _Toc8662 \h </w:instrText>
      </w:r>
      <w:r>
        <w:rPr>
          <w:sz w:val="24"/>
          <w:szCs w:val="28"/>
        </w:rPr>
        <w:fldChar w:fldCharType="separate"/>
      </w:r>
      <w:r>
        <w:rPr>
          <w:sz w:val="24"/>
          <w:szCs w:val="28"/>
        </w:rPr>
        <w:t>26</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_Toc18639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（二）工作保障</w:t>
      </w:r>
      <w:r>
        <w:rPr>
          <w:sz w:val="24"/>
          <w:szCs w:val="28"/>
        </w:rPr>
        <w:tab/>
      </w:r>
      <w:r>
        <w:rPr>
          <w:sz w:val="24"/>
          <w:szCs w:val="28"/>
        </w:rPr>
        <w:fldChar w:fldCharType="begin"/>
      </w:r>
      <w:r>
        <w:rPr>
          <w:sz w:val="24"/>
          <w:szCs w:val="28"/>
        </w:rPr>
        <w:instrText xml:space="preserve"> PAGEREF _Toc18639 \h </w:instrText>
      </w:r>
      <w:r>
        <w:rPr>
          <w:sz w:val="24"/>
          <w:szCs w:val="28"/>
        </w:rPr>
        <w:fldChar w:fldCharType="separate"/>
      </w:r>
      <w:r>
        <w:rPr>
          <w:sz w:val="24"/>
          <w:szCs w:val="28"/>
        </w:rPr>
        <w:t>26</w:t>
      </w:r>
      <w:r>
        <w:rPr>
          <w:sz w:val="24"/>
          <w:szCs w:val="28"/>
        </w:rPr>
        <w:fldChar w:fldCharType="end"/>
      </w:r>
      <w:r>
        <w:rPr>
          <w:rFonts w:hint="eastAsia" w:ascii="仿宋" w:hAnsi="仿宋" w:eastAsia="仿宋" w:cs="仿宋"/>
          <w:sz w:val="24"/>
          <w:szCs w:val="28"/>
        </w:rPr>
        <w:fldChar w:fldCharType="end"/>
      </w:r>
    </w:p>
    <w:p>
      <w:pPr>
        <w:pStyle w:val="10"/>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_Toc15688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4"/>
          <w:lang w:eastAsia="zh-CN"/>
        </w:rPr>
        <w:t>十五、 研究结论及建议</w:t>
      </w:r>
      <w:r>
        <w:rPr>
          <w:sz w:val="24"/>
          <w:szCs w:val="28"/>
        </w:rPr>
        <w:tab/>
      </w:r>
      <w:r>
        <w:rPr>
          <w:sz w:val="24"/>
          <w:szCs w:val="28"/>
        </w:rPr>
        <w:fldChar w:fldCharType="begin"/>
      </w:r>
      <w:r>
        <w:rPr>
          <w:sz w:val="24"/>
          <w:szCs w:val="28"/>
        </w:rPr>
        <w:instrText xml:space="preserve"> PAGEREF _Toc15688 \h </w:instrText>
      </w:r>
      <w:r>
        <w:rPr>
          <w:sz w:val="24"/>
          <w:szCs w:val="28"/>
        </w:rPr>
        <w:fldChar w:fldCharType="separate"/>
      </w:r>
      <w:r>
        <w:rPr>
          <w:sz w:val="24"/>
          <w:szCs w:val="28"/>
        </w:rPr>
        <w:t>27</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_Toc32612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（一）主要研究结论</w:t>
      </w:r>
      <w:r>
        <w:rPr>
          <w:sz w:val="24"/>
          <w:szCs w:val="28"/>
        </w:rPr>
        <w:tab/>
      </w:r>
      <w:r>
        <w:rPr>
          <w:sz w:val="24"/>
          <w:szCs w:val="28"/>
        </w:rPr>
        <w:fldChar w:fldCharType="begin"/>
      </w:r>
      <w:r>
        <w:rPr>
          <w:sz w:val="24"/>
          <w:szCs w:val="28"/>
        </w:rPr>
        <w:instrText xml:space="preserve"> PAGEREF _Toc32612 \h </w:instrText>
      </w:r>
      <w:r>
        <w:rPr>
          <w:sz w:val="24"/>
          <w:szCs w:val="28"/>
        </w:rPr>
        <w:fldChar w:fldCharType="separate"/>
      </w:r>
      <w:r>
        <w:rPr>
          <w:sz w:val="24"/>
          <w:szCs w:val="28"/>
        </w:rPr>
        <w:t>27</w:t>
      </w:r>
      <w:r>
        <w:rPr>
          <w:sz w:val="24"/>
          <w:szCs w:val="28"/>
        </w:rPr>
        <w:fldChar w:fldCharType="end"/>
      </w:r>
      <w:r>
        <w:rPr>
          <w:rFonts w:hint="eastAsia" w:ascii="仿宋" w:hAnsi="仿宋" w:eastAsia="仿宋" w:cs="仿宋"/>
          <w:sz w:val="24"/>
          <w:szCs w:val="28"/>
        </w:rPr>
        <w:fldChar w:fldCharType="end"/>
      </w:r>
    </w:p>
    <w:p>
      <w:pPr>
        <w:pStyle w:val="11"/>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_Toc1900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0"/>
          <w:lang w:eastAsia="zh-CN"/>
        </w:rPr>
        <w:t>（二）问题与建议</w:t>
      </w:r>
      <w:r>
        <w:rPr>
          <w:sz w:val="24"/>
          <w:szCs w:val="28"/>
        </w:rPr>
        <w:tab/>
      </w:r>
      <w:r>
        <w:rPr>
          <w:sz w:val="24"/>
          <w:szCs w:val="28"/>
        </w:rPr>
        <w:fldChar w:fldCharType="begin"/>
      </w:r>
      <w:r>
        <w:rPr>
          <w:sz w:val="24"/>
          <w:szCs w:val="28"/>
        </w:rPr>
        <w:instrText xml:space="preserve"> PAGEREF _Toc1900 \h </w:instrText>
      </w:r>
      <w:r>
        <w:rPr>
          <w:sz w:val="24"/>
          <w:szCs w:val="28"/>
        </w:rPr>
        <w:fldChar w:fldCharType="separate"/>
      </w:r>
      <w:r>
        <w:rPr>
          <w:sz w:val="24"/>
          <w:szCs w:val="28"/>
        </w:rPr>
        <w:t>27</w:t>
      </w:r>
      <w:r>
        <w:rPr>
          <w:sz w:val="24"/>
          <w:szCs w:val="28"/>
        </w:rPr>
        <w:fldChar w:fldCharType="end"/>
      </w:r>
      <w:r>
        <w:rPr>
          <w:rFonts w:hint="eastAsia" w:ascii="仿宋" w:hAnsi="仿宋" w:eastAsia="仿宋" w:cs="仿宋"/>
          <w:sz w:val="24"/>
          <w:szCs w:val="28"/>
        </w:rPr>
        <w:fldChar w:fldCharType="end"/>
      </w:r>
    </w:p>
    <w:p>
      <w:pPr>
        <w:pStyle w:val="10"/>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_Toc15725 </w:instrText>
      </w:r>
      <w:r>
        <w:rPr>
          <w:rFonts w:hint="eastAsia" w:ascii="仿宋" w:hAnsi="仿宋" w:eastAsia="仿宋" w:cs="仿宋"/>
          <w:sz w:val="24"/>
          <w:szCs w:val="28"/>
        </w:rPr>
        <w:fldChar w:fldCharType="separate"/>
      </w:r>
      <w:r>
        <w:rPr>
          <w:rFonts w:hint="eastAsia" w:ascii="仿宋" w:hAnsi="仿宋" w:eastAsia="仿宋" w:cs="仿宋"/>
          <w:bCs/>
          <w:spacing w:val="6"/>
          <w:sz w:val="24"/>
          <w:szCs w:val="44"/>
          <w:lang w:eastAsia="zh-CN"/>
        </w:rPr>
        <w:t>十六、附表、附图和附件</w:t>
      </w:r>
      <w:r>
        <w:rPr>
          <w:sz w:val="24"/>
          <w:szCs w:val="28"/>
        </w:rPr>
        <w:tab/>
      </w:r>
      <w:r>
        <w:rPr>
          <w:sz w:val="24"/>
          <w:szCs w:val="28"/>
        </w:rPr>
        <w:fldChar w:fldCharType="begin"/>
      </w:r>
      <w:r>
        <w:rPr>
          <w:sz w:val="24"/>
          <w:szCs w:val="28"/>
        </w:rPr>
        <w:instrText xml:space="preserve"> PAGEREF _Toc15725 \h </w:instrText>
      </w:r>
      <w:r>
        <w:rPr>
          <w:sz w:val="24"/>
          <w:szCs w:val="28"/>
        </w:rPr>
        <w:fldChar w:fldCharType="separate"/>
      </w:r>
      <w:r>
        <w:rPr>
          <w:sz w:val="24"/>
          <w:szCs w:val="28"/>
        </w:rPr>
        <w:t>29</w:t>
      </w:r>
      <w:r>
        <w:rPr>
          <w:sz w:val="24"/>
          <w:szCs w:val="28"/>
        </w:rPr>
        <w:fldChar w:fldCharType="end"/>
      </w:r>
      <w:r>
        <w:rPr>
          <w:rFonts w:hint="eastAsia" w:ascii="仿宋" w:hAnsi="仿宋" w:eastAsia="仿宋" w:cs="仿宋"/>
          <w:sz w:val="24"/>
          <w:szCs w:val="28"/>
        </w:rPr>
        <w:fldChar w:fldCharType="end"/>
      </w:r>
    </w:p>
    <w:p>
      <w:pPr>
        <w:pStyle w:val="10"/>
        <w:tabs>
          <w:tab w:val="right" w:leader="dot" w:pos="8844"/>
        </w:tabs>
        <w:rPr>
          <w:sz w:val="24"/>
          <w:szCs w:val="28"/>
        </w:rPr>
      </w:pP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\l _Toc17805 </w:instrText>
      </w:r>
      <w:r>
        <w:rPr>
          <w:rFonts w:hint="eastAsia" w:ascii="仿宋" w:hAnsi="仿宋" w:eastAsia="仿宋" w:cs="仿宋"/>
          <w:sz w:val="24"/>
          <w:szCs w:val="28"/>
        </w:rPr>
        <w:fldChar w:fldCharType="separate"/>
      </w:r>
      <w:r>
        <w:rPr>
          <w:rFonts w:hint="eastAsia" w:ascii="仿宋" w:hAnsi="仿宋" w:eastAsia="仿宋" w:cs="仿宋"/>
          <w:spacing w:val="6"/>
          <w:sz w:val="24"/>
          <w:szCs w:val="40"/>
          <w:lang w:eastAsia="zh-CN"/>
        </w:rPr>
        <w:t>附件</w:t>
      </w:r>
      <w:r>
        <w:rPr>
          <w:rFonts w:hint="eastAsia" w:ascii="仿宋" w:hAnsi="仿宋" w:eastAsia="仿宋" w:cs="仿宋"/>
          <w:spacing w:val="6"/>
          <w:sz w:val="24"/>
          <w:szCs w:val="40"/>
          <w:lang w:val="en-US" w:eastAsia="zh-CN"/>
        </w:rPr>
        <w:t>1</w:t>
      </w:r>
      <w:r>
        <w:rPr>
          <w:rFonts w:hint="eastAsia" w:ascii="仿宋" w:hAnsi="仿宋" w:eastAsia="仿宋" w:cs="仿宋"/>
          <w:spacing w:val="6"/>
          <w:sz w:val="24"/>
          <w:szCs w:val="40"/>
          <w:lang w:eastAsia="zh-CN"/>
        </w:rPr>
        <w:t>总概算（预算）表</w:t>
      </w:r>
      <w:r>
        <w:rPr>
          <w:sz w:val="24"/>
          <w:szCs w:val="28"/>
        </w:rPr>
        <w:tab/>
      </w:r>
      <w:r>
        <w:rPr>
          <w:sz w:val="24"/>
          <w:szCs w:val="28"/>
        </w:rPr>
        <w:fldChar w:fldCharType="begin"/>
      </w:r>
      <w:r>
        <w:rPr>
          <w:sz w:val="24"/>
          <w:szCs w:val="28"/>
        </w:rPr>
        <w:instrText xml:space="preserve"> PAGEREF _Toc17805 \h </w:instrText>
      </w:r>
      <w:r>
        <w:rPr>
          <w:sz w:val="24"/>
          <w:szCs w:val="28"/>
        </w:rPr>
        <w:fldChar w:fldCharType="separate"/>
      </w:r>
      <w:r>
        <w:rPr>
          <w:sz w:val="24"/>
          <w:szCs w:val="28"/>
        </w:rPr>
        <w:t>29</w:t>
      </w:r>
      <w:r>
        <w:rPr>
          <w:sz w:val="24"/>
          <w:szCs w:val="28"/>
        </w:rPr>
        <w:fldChar w:fldCharType="end"/>
      </w:r>
      <w:r>
        <w:rPr>
          <w:rFonts w:hint="eastAsia" w:ascii="仿宋" w:hAnsi="仿宋" w:eastAsia="仿宋" w:cs="仿宋"/>
          <w:sz w:val="24"/>
          <w:szCs w:val="28"/>
        </w:rPr>
        <w:fldChar w:fldCharType="end"/>
      </w:r>
    </w:p>
    <w:p>
      <w:pPr>
        <w:keepNext w:val="0"/>
        <w:keepLines w:val="0"/>
        <w:pageBreakBefore w:val="0"/>
        <w:widowControl w:val="0"/>
        <w:kinsoku/>
        <w:wordWrap/>
        <w:overflowPunct/>
        <w:topLinePunct w:val="0"/>
        <w:autoSpaceDE/>
        <w:autoSpaceDN/>
        <w:bidi w:val="0"/>
        <w:adjustRightInd/>
        <w:snapToGrid w:val="0"/>
        <w:spacing w:after="286" w:line="570" w:lineRule="exact"/>
        <w:jc w:val="center"/>
        <w:textAlignment w:val="baseline"/>
        <w:outlineLvl w:val="9"/>
        <w:rPr>
          <w:rFonts w:hint="eastAsia" w:ascii="仿宋" w:hAnsi="仿宋" w:eastAsia="仿宋" w:cs="仿宋"/>
        </w:rPr>
        <w:sectPr>
          <w:footerReference r:id="rId9" w:type="default"/>
          <w:pgSz w:w="11906" w:h="16838"/>
          <w:pgMar w:top="2098" w:right="1531" w:bottom="1984" w:left="1531" w:header="851" w:footer="992" w:gutter="0"/>
          <w:pgNumType w:start="1"/>
          <w:cols w:space="425" w:num="1"/>
          <w:docGrid w:linePitch="286" w:charSpace="0"/>
        </w:sectPr>
      </w:pPr>
    </w:p>
    <w:p>
      <w:pPr>
        <w:keepNext w:val="0"/>
        <w:keepLines w:val="0"/>
        <w:pageBreakBefore w:val="0"/>
        <w:widowControl w:val="0"/>
        <w:kinsoku/>
        <w:wordWrap/>
        <w:overflowPunct/>
        <w:topLinePunct w:val="0"/>
        <w:autoSpaceDE/>
        <w:autoSpaceDN/>
        <w:bidi w:val="0"/>
        <w:adjustRightInd/>
        <w:snapToGrid w:val="0"/>
        <w:spacing w:after="286" w:line="570" w:lineRule="exact"/>
        <w:jc w:val="center"/>
        <w:textAlignment w:val="baseline"/>
        <w:outlineLvl w:val="9"/>
        <w:rPr>
          <w:rFonts w:hint="eastAsia" w:ascii="仿宋" w:hAnsi="仿宋" w:eastAsia="仿宋" w:cs="仿宋"/>
          <w:sz w:val="36"/>
          <w:szCs w:val="36"/>
        </w:rPr>
      </w:pPr>
      <w:r>
        <w:rPr>
          <w:rFonts w:hint="eastAsia" w:ascii="仿宋" w:hAnsi="仿宋" w:eastAsia="仿宋" w:cs="仿宋"/>
        </w:rPr>
        <w:fldChar w:fldCharType="end"/>
      </w:r>
      <w:r>
        <w:rPr>
          <w:rFonts w:hint="eastAsia" w:ascii="仿宋" w:hAnsi="仿宋" w:eastAsia="仿宋" w:cs="仿宋"/>
          <w:sz w:val="36"/>
          <w:szCs w:val="36"/>
          <w:lang w:eastAsia="zh-CN"/>
        </w:rPr>
        <w:t>麦盖提县希依提墩乡、克孜勒阿瓦提乡村辅道建设2024年中央财政以工代赈项目</w:t>
      </w:r>
      <w:r>
        <w:rPr>
          <w:rFonts w:hint="eastAsia" w:ascii="仿宋" w:hAnsi="仿宋" w:eastAsia="仿宋" w:cs="仿宋"/>
          <w:sz w:val="36"/>
          <w:szCs w:val="36"/>
        </w:rPr>
        <w:t>实施方案</w:t>
      </w:r>
    </w:p>
    <w:p>
      <w:pPr>
        <w:pStyle w:val="24"/>
        <w:pageBreakBefore w:val="0"/>
        <w:numPr>
          <w:ilvl w:val="0"/>
          <w:numId w:val="0"/>
        </w:numPr>
        <w:kinsoku/>
        <w:wordWrap/>
        <w:overflowPunct/>
        <w:topLinePunct w:val="0"/>
        <w:bidi w:val="0"/>
        <w:snapToGrid w:val="0"/>
        <w:spacing w:line="570" w:lineRule="exact"/>
        <w:textAlignment w:val="baseline"/>
        <w:outlineLvl w:val="0"/>
        <w:rPr>
          <w:rFonts w:hint="eastAsia" w:ascii="仿宋" w:hAnsi="仿宋" w:eastAsia="仿宋" w:cs="仿宋"/>
          <w:b/>
          <w:bCs/>
          <w:spacing w:val="6"/>
          <w:sz w:val="36"/>
          <w:szCs w:val="36"/>
          <w:lang w:eastAsia="zh-CN"/>
        </w:rPr>
      </w:pPr>
      <w:bookmarkStart w:id="0" w:name="_Toc20737"/>
      <w:r>
        <w:rPr>
          <w:rFonts w:hint="eastAsia" w:ascii="仿宋" w:hAnsi="仿宋" w:eastAsia="仿宋" w:cs="仿宋"/>
          <w:b/>
          <w:bCs/>
          <w:spacing w:val="6"/>
          <w:sz w:val="36"/>
          <w:szCs w:val="36"/>
          <w:lang w:eastAsia="zh-CN"/>
        </w:rPr>
        <w:t>一、概述</w:t>
      </w:r>
      <w:bookmarkEnd w:id="0"/>
    </w:p>
    <w:p>
      <w:pPr>
        <w:pStyle w:val="24"/>
        <w:pageBreakBefore w:val="0"/>
        <w:numPr>
          <w:ilvl w:val="0"/>
          <w:numId w:val="1"/>
        </w:numPr>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lang w:eastAsia="zh-CN"/>
        </w:rPr>
      </w:pPr>
      <w:bookmarkStart w:id="1" w:name="_Toc28989"/>
      <w:r>
        <w:rPr>
          <w:rFonts w:hint="eastAsia" w:ascii="仿宋" w:hAnsi="仿宋" w:eastAsia="仿宋" w:cs="仿宋"/>
          <w:b/>
          <w:bCs/>
          <w:spacing w:val="6"/>
          <w:sz w:val="32"/>
          <w:szCs w:val="32"/>
        </w:rPr>
        <w:t>项目</w:t>
      </w:r>
      <w:r>
        <w:rPr>
          <w:rFonts w:hint="eastAsia" w:ascii="仿宋" w:hAnsi="仿宋" w:eastAsia="仿宋" w:cs="仿宋"/>
          <w:b/>
          <w:bCs/>
          <w:spacing w:val="6"/>
          <w:sz w:val="32"/>
          <w:szCs w:val="32"/>
          <w:lang w:eastAsia="zh-CN"/>
        </w:rPr>
        <w:t>概况</w:t>
      </w:r>
      <w:bookmarkEnd w:id="1"/>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项目名称：</w:t>
      </w:r>
      <w:r>
        <w:rPr>
          <w:rFonts w:hint="eastAsia" w:ascii="仿宋" w:hAnsi="仿宋" w:eastAsia="仿宋" w:cs="仿宋"/>
          <w:spacing w:val="6"/>
          <w:sz w:val="32"/>
          <w:szCs w:val="32"/>
          <w:lang w:eastAsia="zh-CN"/>
        </w:rPr>
        <w:t>麦盖提县希依提墩乡、克孜勒阿瓦提乡村辅道建设2024年中央财政以工代赈项目</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项目建设内容：新建</w:t>
      </w:r>
      <w:r>
        <w:rPr>
          <w:rFonts w:hint="eastAsia" w:ascii="仿宋" w:hAnsi="仿宋" w:eastAsia="仿宋" w:cs="仿宋"/>
          <w:spacing w:val="6"/>
          <w:sz w:val="32"/>
          <w:szCs w:val="32"/>
          <w:lang w:val="en-US" w:eastAsia="zh-CN"/>
        </w:rPr>
        <w:t>6</w:t>
      </w:r>
      <w:r>
        <w:rPr>
          <w:rFonts w:hint="eastAsia" w:ascii="仿宋" w:hAnsi="仿宋" w:eastAsia="仿宋" w:cs="仿宋"/>
          <w:spacing w:val="6"/>
          <w:sz w:val="32"/>
          <w:szCs w:val="32"/>
        </w:rPr>
        <w:t>公里道路</w:t>
      </w:r>
      <w:r>
        <w:rPr>
          <w:rFonts w:hint="eastAsia" w:ascii="仿宋" w:hAnsi="仿宋" w:eastAsia="仿宋" w:cs="仿宋"/>
          <w:spacing w:val="6"/>
          <w:sz w:val="32"/>
          <w:szCs w:val="32"/>
          <w:lang w:eastAsia="zh-CN"/>
        </w:rPr>
        <w:t>（沥青路</w:t>
      </w:r>
      <w:r>
        <w:rPr>
          <w:rFonts w:hint="eastAsia" w:ascii="仿宋" w:hAnsi="仿宋" w:eastAsia="仿宋" w:cs="仿宋"/>
          <w:spacing w:val="6"/>
          <w:sz w:val="32"/>
          <w:szCs w:val="32"/>
          <w:lang w:val="en-US" w:eastAsia="zh-CN"/>
        </w:rPr>
        <w:t>5.24km、水泥路0.76km</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，修建路基、路面、桥涵及附属设施；</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项目建设地点：</w:t>
      </w:r>
      <w:r>
        <w:rPr>
          <w:rFonts w:hint="eastAsia" w:ascii="仿宋" w:hAnsi="仿宋" w:eastAsia="仿宋" w:cs="仿宋"/>
          <w:spacing w:val="6"/>
          <w:sz w:val="32"/>
          <w:szCs w:val="32"/>
          <w:lang w:eastAsia="zh-CN"/>
        </w:rPr>
        <w:t>希依提墩乡、克孜勒阿瓦提乡</w:t>
      </w:r>
      <w:r>
        <w:rPr>
          <w:rFonts w:hint="eastAsia" w:ascii="仿宋" w:hAnsi="仿宋" w:eastAsia="仿宋" w:cs="仿宋"/>
          <w:spacing w:val="6"/>
          <w:sz w:val="32"/>
          <w:szCs w:val="32"/>
        </w:rPr>
        <w:t>；</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项目建设单位：</w:t>
      </w:r>
      <w:r>
        <w:rPr>
          <w:rFonts w:hint="eastAsia" w:ascii="仿宋" w:hAnsi="仿宋" w:eastAsia="仿宋" w:cs="仿宋"/>
          <w:spacing w:val="6"/>
          <w:sz w:val="32"/>
          <w:szCs w:val="32"/>
          <w:lang w:eastAsia="zh-CN"/>
        </w:rPr>
        <w:t>麦盖提县农村公路建设养护所</w:t>
      </w:r>
      <w:r>
        <w:rPr>
          <w:rFonts w:hint="eastAsia" w:ascii="仿宋" w:hAnsi="仿宋" w:eastAsia="仿宋" w:cs="仿宋"/>
          <w:spacing w:val="6"/>
          <w:sz w:val="32"/>
          <w:szCs w:val="32"/>
        </w:rPr>
        <w:t>；</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项目负责人：</w:t>
      </w:r>
      <w:r>
        <w:rPr>
          <w:rFonts w:hint="eastAsia" w:ascii="仿宋" w:hAnsi="仿宋" w:eastAsia="仿宋" w:cs="仿宋"/>
          <w:spacing w:val="6"/>
          <w:sz w:val="32"/>
          <w:szCs w:val="32"/>
          <w:lang w:eastAsia="zh-CN"/>
        </w:rPr>
        <w:t>丁祥伟</w:t>
      </w:r>
      <w:r>
        <w:rPr>
          <w:rFonts w:hint="eastAsia" w:ascii="仿宋" w:hAnsi="仿宋" w:eastAsia="仿宋" w:cs="仿宋"/>
          <w:spacing w:val="6"/>
          <w:sz w:val="32"/>
          <w:szCs w:val="32"/>
        </w:rPr>
        <w:t>；</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项目总投资：</w:t>
      </w:r>
      <w:r>
        <w:rPr>
          <w:rFonts w:hint="eastAsia" w:ascii="仿宋" w:hAnsi="仿宋" w:eastAsia="仿宋" w:cs="仿宋"/>
          <w:spacing w:val="6"/>
          <w:sz w:val="32"/>
          <w:szCs w:val="32"/>
          <w:lang w:val="en-US" w:eastAsia="zh-CN"/>
        </w:rPr>
        <w:t>300</w:t>
      </w:r>
      <w:r>
        <w:rPr>
          <w:rFonts w:hint="eastAsia" w:ascii="仿宋" w:hAnsi="仿宋" w:eastAsia="仿宋" w:cs="仿宋"/>
          <w:spacing w:val="6"/>
          <w:sz w:val="32"/>
          <w:szCs w:val="32"/>
        </w:rPr>
        <w:t>万元；</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建设时间：</w:t>
      </w:r>
      <w:r>
        <w:rPr>
          <w:rFonts w:hint="eastAsia" w:ascii="仿宋" w:hAnsi="仿宋" w:eastAsia="仿宋" w:cs="仿宋"/>
          <w:spacing w:val="6"/>
          <w:sz w:val="32"/>
          <w:szCs w:val="32"/>
          <w:lang w:eastAsia="zh-CN"/>
        </w:rPr>
        <w:t>工期拟在</w:t>
      </w:r>
      <w:r>
        <w:rPr>
          <w:rFonts w:hint="eastAsia" w:ascii="仿宋" w:hAnsi="仿宋" w:eastAsia="仿宋" w:cs="仿宋"/>
          <w:spacing w:val="6"/>
          <w:sz w:val="32"/>
          <w:szCs w:val="32"/>
        </w:rPr>
        <w:t>202</w:t>
      </w:r>
      <w:r>
        <w:rPr>
          <w:rFonts w:hint="eastAsia" w:ascii="仿宋" w:hAnsi="仿宋" w:eastAsia="仿宋" w:cs="仿宋"/>
          <w:spacing w:val="6"/>
          <w:sz w:val="32"/>
          <w:szCs w:val="32"/>
          <w:lang w:val="en-US" w:eastAsia="zh-CN"/>
        </w:rPr>
        <w:t>4</w:t>
      </w:r>
      <w:r>
        <w:rPr>
          <w:rFonts w:hint="eastAsia" w:ascii="仿宋" w:hAnsi="仿宋" w:eastAsia="仿宋" w:cs="仿宋"/>
          <w:spacing w:val="6"/>
          <w:sz w:val="32"/>
          <w:szCs w:val="32"/>
        </w:rPr>
        <w:t>年</w:t>
      </w:r>
      <w:r>
        <w:rPr>
          <w:rFonts w:hint="eastAsia" w:ascii="仿宋" w:hAnsi="仿宋" w:eastAsia="仿宋" w:cs="仿宋"/>
          <w:spacing w:val="6"/>
          <w:sz w:val="32"/>
          <w:szCs w:val="32"/>
          <w:lang w:val="en-US" w:eastAsia="zh-CN"/>
        </w:rPr>
        <w:t>3</w:t>
      </w:r>
      <w:r>
        <w:rPr>
          <w:rFonts w:hint="eastAsia" w:ascii="仿宋" w:hAnsi="仿宋" w:eastAsia="仿宋" w:cs="仿宋"/>
          <w:spacing w:val="6"/>
          <w:sz w:val="32"/>
          <w:szCs w:val="32"/>
        </w:rPr>
        <w:t>月至</w:t>
      </w:r>
      <w:r>
        <w:rPr>
          <w:rFonts w:hint="eastAsia" w:ascii="仿宋" w:hAnsi="仿宋" w:eastAsia="仿宋" w:cs="仿宋"/>
          <w:spacing w:val="6"/>
          <w:sz w:val="32"/>
          <w:szCs w:val="32"/>
          <w:lang w:val="en-US" w:eastAsia="zh-CN"/>
        </w:rPr>
        <w:t>6</w:t>
      </w:r>
      <w:r>
        <w:rPr>
          <w:rFonts w:hint="eastAsia" w:ascii="仿宋" w:hAnsi="仿宋" w:eastAsia="仿宋" w:cs="仿宋"/>
          <w:spacing w:val="6"/>
          <w:sz w:val="32"/>
          <w:szCs w:val="32"/>
        </w:rPr>
        <w:t>月；</w:t>
      </w:r>
    </w:p>
    <w:p>
      <w:pPr>
        <w:pStyle w:val="24"/>
        <w:pageBreakBefore w:val="0"/>
        <w:numPr>
          <w:ilvl w:val="0"/>
          <w:numId w:val="1"/>
        </w:numPr>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lang w:eastAsia="zh-CN"/>
        </w:rPr>
      </w:pPr>
      <w:bookmarkStart w:id="2" w:name="_Toc29806"/>
      <w:r>
        <w:rPr>
          <w:rFonts w:hint="eastAsia" w:ascii="仿宋" w:hAnsi="仿宋" w:eastAsia="仿宋" w:cs="仿宋"/>
          <w:b/>
          <w:bCs/>
          <w:spacing w:val="6"/>
          <w:sz w:val="32"/>
          <w:szCs w:val="32"/>
          <w:lang w:eastAsia="zh-CN"/>
        </w:rPr>
        <w:t>编制依据</w:t>
      </w:r>
      <w:bookmarkEnd w:id="2"/>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lang w:eastAsia="zh-CN"/>
        </w:rPr>
        <w:t>深入学习贯彻习近平总书记和其他领导同志关于以工代赈工作的重要指示精神，落实党中央、国务院部署要求，按照《国家以工代赈管理办法》《自治区“十四五”以工代赈工作方案》《关于进一步坚守“赈”的初心充分发挥以工代赈政策功能的实施意见》等文件要求。</w:t>
      </w:r>
    </w:p>
    <w:p>
      <w:pPr>
        <w:pStyle w:val="24"/>
        <w:pageBreakBefore w:val="0"/>
        <w:numPr>
          <w:ilvl w:val="0"/>
          <w:numId w:val="1"/>
        </w:numPr>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lang w:eastAsia="zh-CN"/>
        </w:rPr>
      </w:pPr>
      <w:bookmarkStart w:id="3" w:name="_Toc20956"/>
      <w:r>
        <w:rPr>
          <w:rFonts w:hint="eastAsia" w:ascii="仿宋" w:hAnsi="仿宋" w:eastAsia="仿宋" w:cs="仿宋"/>
          <w:b/>
          <w:bCs/>
          <w:spacing w:val="6"/>
          <w:sz w:val="32"/>
          <w:szCs w:val="32"/>
          <w:lang w:eastAsia="zh-CN"/>
        </w:rPr>
        <w:t>主要结论和建议</w:t>
      </w:r>
      <w:bookmarkEnd w:id="3"/>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本项目以“农村公益性基础设施建设+劳务报酬发放+就业技能培训+公益性岗位设置”综合示范模式实施。项目完成后，通过中央预算内资金引导，促进项目区产业发展，增强农民增收的内生动力。</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项目建成后，结合以工代赈项目和当地乡村振兴战略实施，帮助难以通过市场就业的脱贫群众和其他农村低收入人口，特别是易地扶贫搬迁脱贫人口实现就近就业，获得稳定收入。</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rPr>
        <w:t>综上，本项目的建设对促进</w:t>
      </w:r>
      <w:r>
        <w:rPr>
          <w:rFonts w:hint="eastAsia" w:ascii="仿宋" w:hAnsi="仿宋" w:eastAsia="仿宋" w:cs="仿宋"/>
          <w:spacing w:val="6"/>
          <w:sz w:val="32"/>
          <w:szCs w:val="32"/>
          <w:lang w:eastAsia="zh-CN"/>
        </w:rPr>
        <w:t>麦盖提县</w:t>
      </w:r>
      <w:r>
        <w:rPr>
          <w:rFonts w:hint="eastAsia" w:ascii="仿宋" w:hAnsi="仿宋" w:eastAsia="仿宋" w:cs="仿宋"/>
          <w:spacing w:val="6"/>
          <w:sz w:val="32"/>
          <w:szCs w:val="32"/>
        </w:rPr>
        <w:t>乡村振兴和改善民生，将起到巨大的推动作用</w:t>
      </w:r>
      <w:r>
        <w:rPr>
          <w:rFonts w:hint="eastAsia" w:ascii="仿宋" w:hAnsi="仿宋" w:eastAsia="仿宋" w:cs="仿宋"/>
          <w:spacing w:val="6"/>
          <w:sz w:val="32"/>
          <w:szCs w:val="32"/>
          <w:lang w:eastAsia="zh-CN"/>
        </w:rPr>
        <w:t>。</w:t>
      </w:r>
    </w:p>
    <w:p>
      <w:pPr>
        <w:pStyle w:val="24"/>
        <w:pageBreakBefore w:val="0"/>
        <w:numPr>
          <w:ilvl w:val="0"/>
          <w:numId w:val="0"/>
        </w:numPr>
        <w:kinsoku/>
        <w:wordWrap/>
        <w:overflowPunct/>
        <w:topLinePunct w:val="0"/>
        <w:bidi w:val="0"/>
        <w:snapToGrid w:val="0"/>
        <w:spacing w:line="570" w:lineRule="exact"/>
        <w:ind w:firstLine="690"/>
        <w:textAlignment w:val="baseline"/>
        <w:rPr>
          <w:rFonts w:hint="default" w:ascii="仿宋" w:hAnsi="仿宋" w:eastAsia="仿宋" w:cs="仿宋"/>
          <w:b/>
          <w:bCs/>
          <w:spacing w:val="6"/>
          <w:sz w:val="32"/>
          <w:szCs w:val="32"/>
          <w:lang w:val="en-US" w:eastAsia="zh-CN"/>
        </w:rPr>
      </w:pPr>
    </w:p>
    <w:p>
      <w:pPr>
        <w:pStyle w:val="24"/>
        <w:pageBreakBefore w:val="0"/>
        <w:numPr>
          <w:ilvl w:val="0"/>
          <w:numId w:val="0"/>
        </w:numPr>
        <w:kinsoku/>
        <w:wordWrap/>
        <w:overflowPunct/>
        <w:topLinePunct w:val="0"/>
        <w:bidi w:val="0"/>
        <w:snapToGrid w:val="0"/>
        <w:spacing w:line="570" w:lineRule="exact"/>
        <w:textAlignment w:val="baseline"/>
        <w:outlineLvl w:val="0"/>
        <w:rPr>
          <w:rFonts w:hint="eastAsia" w:ascii="仿宋" w:hAnsi="仿宋" w:eastAsia="仿宋" w:cs="仿宋"/>
          <w:b/>
          <w:bCs/>
          <w:spacing w:val="6"/>
          <w:sz w:val="36"/>
          <w:szCs w:val="36"/>
          <w:lang w:eastAsia="zh-CN"/>
        </w:rPr>
      </w:pPr>
      <w:bookmarkStart w:id="4" w:name="_Toc3198"/>
      <w:r>
        <w:rPr>
          <w:rFonts w:hint="eastAsia" w:ascii="仿宋" w:hAnsi="仿宋" w:eastAsia="仿宋" w:cs="仿宋"/>
          <w:b/>
          <w:bCs/>
          <w:spacing w:val="6"/>
          <w:sz w:val="36"/>
          <w:szCs w:val="36"/>
          <w:lang w:eastAsia="zh-CN"/>
        </w:rPr>
        <w:t>二、项目建设背景和必要性</w:t>
      </w:r>
      <w:bookmarkEnd w:id="4"/>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5" w:name="_Toc3077"/>
      <w:r>
        <w:rPr>
          <w:rFonts w:hint="eastAsia" w:ascii="仿宋" w:hAnsi="仿宋" w:eastAsia="仿宋" w:cs="仿宋"/>
          <w:b/>
          <w:bCs/>
          <w:spacing w:val="6"/>
          <w:sz w:val="32"/>
          <w:szCs w:val="32"/>
          <w:lang w:eastAsia="zh-CN"/>
        </w:rPr>
        <w:t>（一）项目建设背景</w:t>
      </w:r>
      <w:bookmarkEnd w:id="5"/>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生态宜居是乡村振兴的关键，我们要塑造较好的生态、适居的环境，是农村发展的优点和财富，也就是绿水青山便是金山银山。另外，我们也要推进农村的自然资源、资本、资产加速生产，让绿水青山变成金山银山。</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实施乡村振兴战略，是党的十九大作出的重大决策部署，是决胜全面建成小康社会、全面建设社会主义现代化国家的重大历史任务，是新时代做好“三农”工作的总抓手。农业强不强、农村美不美、农民富不富，决定着全面小康社会的成色和社会主义现代化的质量。要深刻认识实施乡村振兴战略的重要性和必要性，扎扎实实把乡村振兴战略实施好。</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麦盖提县位于新疆维吾尔自治区南部，地处塔克拉玛干沙漠西南边缘、喀喇昆仑山北麓、叶尔羌河下游和提孜那甫河下游。地理位置为东经77°28'－79°05'，北纬38°25'－39°22'，东部隔大漠与和田地区皮山县相连，东北与阿克苏地区阿瓦提县相邻，南部与莎车县相邻、北部与巴楚县相邻，东西长160公里，南北宽136公里，总面积为1.52万平方公里。海拔1155米-1195米。县城距首府乌鲁木齐市公路里程1410公里、距喀什市175公里、距巴楚火车站150公里，位于叶河流域五个县的中心，是毗邻叶尔羌河中游的一颗明珠，故又有“小金三角”之称。</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地势平坦，全县地势由西南向东北缓缓倾斜。主要地貌：沿叶尔羌河两岸为平原区，东北部沿叶尔羌河下游一带为原始胡杨森林区，东部为沙漠区。</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麦盖提县自然景观有原始胡杨林、东河滩沙棘林湿地、塔克拉玛干沙漠风光、叶尔羌河中游大桥夕阳风光和刀郎千岛湖等。距塔克拉玛干沙漠最近处仅13公里。</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rPr>
        <w:t>项目路线所在区域属于提孜那甫河下游的冲、洪积和风积平原，地形平坦开阔，地势由西南向东北缓缓倾斜，自然坡降0.5%之内，全线属平原微丘地形。</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6" w:name="_Toc18078"/>
      <w:r>
        <w:rPr>
          <w:rFonts w:hint="eastAsia" w:ascii="仿宋" w:hAnsi="仿宋" w:eastAsia="仿宋" w:cs="仿宋"/>
          <w:b/>
          <w:bCs/>
          <w:spacing w:val="6"/>
          <w:sz w:val="32"/>
          <w:szCs w:val="32"/>
          <w:lang w:eastAsia="zh-CN"/>
        </w:rPr>
        <w:t>（二）规划政策符合性</w:t>
      </w:r>
      <w:bookmarkEnd w:id="6"/>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中共中央国务院关于坚持农业农村优先发展做好“三农”工作的若干意见(中发〔2019〕1号)》，全文共分8个部分，包括：聚力精准施策，决战决胜脱贫攻坚；夯实农业基础，保障重要农产品有效供给；扎实推进乡村建设，加快补齐农村人居环境和公共服务短板；发展壮大乡村产业，拓宽农民增收渠道；全面深化农村改革，激发乡村发展活力；完善乡村治理机制，保持农村社会和谐稳定；发挥农村党支部战斗堡垒作用，全面加强农村基层组织建设；加强党对“三农”工作的领导，落实农业农村优先发展总方针。</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7" w:name="_Toc21751"/>
      <w:r>
        <w:rPr>
          <w:rFonts w:hint="eastAsia" w:ascii="仿宋" w:hAnsi="仿宋" w:eastAsia="仿宋" w:cs="仿宋"/>
          <w:b/>
          <w:bCs/>
          <w:spacing w:val="6"/>
          <w:sz w:val="32"/>
          <w:szCs w:val="32"/>
          <w:lang w:eastAsia="zh-CN"/>
        </w:rPr>
        <w:t>（三）项目建设必要性</w:t>
      </w:r>
      <w:bookmarkEnd w:id="7"/>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1、是全面推进乡村振兴战略的需要。</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default" w:ascii="仿宋" w:hAnsi="仿宋" w:eastAsia="仿宋" w:cs="仿宋"/>
          <w:spacing w:val="6"/>
          <w:sz w:val="32"/>
          <w:szCs w:val="32"/>
        </w:rPr>
        <w:t>2、是连接</w:t>
      </w:r>
      <w:r>
        <w:rPr>
          <w:rFonts w:hint="eastAsia" w:ascii="仿宋" w:hAnsi="仿宋" w:eastAsia="仿宋" w:cs="仿宋"/>
          <w:spacing w:val="6"/>
          <w:sz w:val="32"/>
          <w:szCs w:val="32"/>
          <w:lang w:eastAsia="zh-CN"/>
        </w:rPr>
        <w:t>农村公路</w:t>
      </w:r>
      <w:r>
        <w:rPr>
          <w:rFonts w:hint="default" w:ascii="仿宋" w:hAnsi="仿宋" w:eastAsia="仿宋" w:cs="仿宋"/>
          <w:spacing w:val="6"/>
          <w:sz w:val="32"/>
          <w:szCs w:val="32"/>
        </w:rPr>
        <w:t>，充分发挥路网规模效益的需要。</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default" w:ascii="仿宋" w:hAnsi="仿宋" w:eastAsia="仿宋" w:cs="仿宋"/>
          <w:spacing w:val="6"/>
          <w:sz w:val="32"/>
          <w:szCs w:val="32"/>
        </w:rPr>
        <w:t>3、是改善乡村出行条件，提高村民出行安全性、舒适性的需要。</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default" w:ascii="仿宋" w:hAnsi="仿宋" w:eastAsia="仿宋" w:cs="仿宋"/>
          <w:spacing w:val="6"/>
          <w:sz w:val="32"/>
          <w:szCs w:val="32"/>
        </w:rPr>
        <w:t>4、是改善投资环境，促进沿线资源开发，推动经济持续、健康、快速发展的需要。</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default" w:ascii="仿宋" w:hAnsi="仿宋" w:eastAsia="仿宋" w:cs="仿宋"/>
          <w:spacing w:val="6"/>
          <w:sz w:val="32"/>
          <w:szCs w:val="32"/>
        </w:rPr>
        <w:t>5、是拓展乡镇发展空间，增强发展后劲的需要。</w:t>
      </w:r>
      <w:r>
        <w:rPr>
          <w:rFonts w:hint="eastAsia" w:ascii="仿宋" w:hAnsi="仿宋" w:eastAsia="仿宋" w:cs="仿宋"/>
          <w:spacing w:val="6"/>
          <w:sz w:val="32"/>
          <w:szCs w:val="32"/>
        </w:rPr>
        <w:t> </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综上所述，</w:t>
      </w:r>
      <w:r>
        <w:rPr>
          <w:rFonts w:hint="eastAsia" w:ascii="仿宋" w:hAnsi="仿宋" w:eastAsia="仿宋" w:cs="仿宋"/>
          <w:spacing w:val="6"/>
          <w:sz w:val="32"/>
          <w:szCs w:val="32"/>
          <w:lang w:eastAsia="zh-CN"/>
        </w:rPr>
        <w:t>项目</w:t>
      </w:r>
      <w:r>
        <w:rPr>
          <w:rFonts w:hint="eastAsia" w:ascii="仿宋" w:hAnsi="仿宋" w:eastAsia="仿宋" w:cs="仿宋"/>
          <w:spacing w:val="6"/>
          <w:sz w:val="32"/>
          <w:szCs w:val="32"/>
        </w:rPr>
        <w:t>的建设具有极其重要的意义，项目建成后，结合以工代赈项目和当地乡村振兴战略实施，帮助难以通过市场就业的脱贫群众和其他农村低收入人口，特别是易地扶贫搬迁脱贫人口实现就近就业，获得稳定收入。</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p>
    <w:p>
      <w:pPr>
        <w:pStyle w:val="24"/>
        <w:pageBreakBefore w:val="0"/>
        <w:numPr>
          <w:ilvl w:val="0"/>
          <w:numId w:val="0"/>
        </w:numPr>
        <w:kinsoku/>
        <w:wordWrap/>
        <w:overflowPunct/>
        <w:topLinePunct w:val="0"/>
        <w:bidi w:val="0"/>
        <w:snapToGrid w:val="0"/>
        <w:spacing w:line="570" w:lineRule="exact"/>
        <w:textAlignment w:val="baseline"/>
        <w:outlineLvl w:val="0"/>
        <w:rPr>
          <w:rFonts w:hint="eastAsia" w:ascii="仿宋" w:hAnsi="仿宋" w:eastAsia="仿宋" w:cs="仿宋"/>
          <w:b/>
          <w:bCs/>
          <w:spacing w:val="6"/>
          <w:sz w:val="36"/>
          <w:szCs w:val="36"/>
          <w:lang w:eastAsia="zh-CN"/>
        </w:rPr>
      </w:pPr>
      <w:bookmarkStart w:id="8" w:name="_Toc29295"/>
      <w:r>
        <w:rPr>
          <w:rFonts w:hint="eastAsia" w:ascii="仿宋" w:hAnsi="仿宋" w:eastAsia="仿宋" w:cs="仿宋"/>
          <w:b/>
          <w:bCs/>
          <w:spacing w:val="6"/>
          <w:sz w:val="36"/>
          <w:szCs w:val="36"/>
          <w:lang w:eastAsia="zh-CN"/>
        </w:rPr>
        <w:t>三、项目需求分析与产出方案</w:t>
      </w:r>
      <w:bookmarkEnd w:id="8"/>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（一）需求分析</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val="zh-CN" w:eastAsia="zh-CN"/>
        </w:rPr>
      </w:pPr>
      <w:r>
        <w:rPr>
          <w:rFonts w:hint="eastAsia" w:ascii="仿宋" w:hAnsi="仿宋" w:eastAsia="仿宋" w:cs="仿宋"/>
          <w:spacing w:val="6"/>
          <w:sz w:val="32"/>
          <w:szCs w:val="32"/>
          <w:lang w:val="zh-CN"/>
        </w:rPr>
        <w:t>项目区原有道路宽度受限，随着经济发展，车流量与日俱增，目前机动车、非机动车与人</w:t>
      </w:r>
      <w:r>
        <w:rPr>
          <w:rFonts w:hint="eastAsia" w:ascii="仿宋" w:hAnsi="仿宋" w:eastAsia="仿宋" w:cs="仿宋"/>
          <w:spacing w:val="6"/>
          <w:sz w:val="32"/>
          <w:szCs w:val="32"/>
          <w:lang w:val="en-US" w:eastAsia="zh-CN"/>
        </w:rPr>
        <w:t>混</w:t>
      </w:r>
      <w:r>
        <w:rPr>
          <w:rFonts w:hint="eastAsia" w:ascii="仿宋" w:hAnsi="仿宋" w:eastAsia="仿宋" w:cs="仿宋"/>
          <w:spacing w:val="6"/>
          <w:sz w:val="32"/>
          <w:szCs w:val="32"/>
          <w:lang w:val="zh-CN"/>
        </w:rPr>
        <w:t>行，易发生交通安全事故。新建辅道，拓宽道路，分流机动车、非机动车、行人通行，提高道路通行能力，避免道路交通安全事故的发生。</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（二）建设内容和规模</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lang w:val="zh-CN"/>
        </w:rPr>
        <w:t>希依提墩乡、克孜勒阿瓦提乡境内</w:t>
      </w:r>
      <w:r>
        <w:rPr>
          <w:rFonts w:hint="eastAsia" w:ascii="仿宋" w:hAnsi="仿宋" w:eastAsia="仿宋" w:cs="仿宋"/>
          <w:spacing w:val="6"/>
          <w:sz w:val="32"/>
          <w:szCs w:val="32"/>
        </w:rPr>
        <w:t>新建</w:t>
      </w:r>
      <w:r>
        <w:rPr>
          <w:rFonts w:hint="eastAsia" w:ascii="仿宋" w:hAnsi="仿宋" w:eastAsia="仿宋" w:cs="仿宋"/>
          <w:spacing w:val="6"/>
          <w:sz w:val="32"/>
          <w:szCs w:val="32"/>
          <w:lang w:val="en-US" w:eastAsia="zh-CN"/>
        </w:rPr>
        <w:t>6</w:t>
      </w:r>
      <w:r>
        <w:rPr>
          <w:rFonts w:hint="eastAsia" w:ascii="仿宋" w:hAnsi="仿宋" w:eastAsia="仿宋" w:cs="仿宋"/>
          <w:spacing w:val="6"/>
          <w:sz w:val="32"/>
          <w:szCs w:val="32"/>
        </w:rPr>
        <w:t>公里道路</w:t>
      </w:r>
      <w:r>
        <w:rPr>
          <w:rFonts w:hint="eastAsia" w:ascii="仿宋" w:hAnsi="仿宋" w:eastAsia="仿宋" w:cs="仿宋"/>
          <w:spacing w:val="6"/>
          <w:sz w:val="32"/>
          <w:szCs w:val="32"/>
          <w:lang w:eastAsia="zh-CN"/>
        </w:rPr>
        <w:t>（沥青路</w:t>
      </w:r>
      <w:r>
        <w:rPr>
          <w:rFonts w:hint="eastAsia" w:ascii="仿宋" w:hAnsi="仿宋" w:eastAsia="仿宋" w:cs="仿宋"/>
          <w:spacing w:val="6"/>
          <w:sz w:val="32"/>
          <w:szCs w:val="32"/>
          <w:lang w:val="en-US" w:eastAsia="zh-CN"/>
        </w:rPr>
        <w:t>5.24km、水泥路0.76km</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zh-CN"/>
        </w:rPr>
        <w:t>辅道（宽4-4.5米）及附属设施建设，其中：希依提墩乡月塘（3）村0.8公里、英买里（5）村1.3公里，阿都克阿勒迪(7)村1.26公里、英巴扎（3）村2.64公里。</w:t>
      </w:r>
      <w:r>
        <w:rPr>
          <w:rFonts w:hint="eastAsia" w:ascii="仿宋" w:hAnsi="仿宋" w:eastAsia="仿宋" w:cs="仿宋"/>
          <w:spacing w:val="6"/>
          <w:sz w:val="32"/>
          <w:szCs w:val="32"/>
        </w:rPr>
        <w:t>结构层</w:t>
      </w:r>
      <w:r>
        <w:rPr>
          <w:rFonts w:hint="eastAsia" w:ascii="仿宋" w:hAnsi="仿宋" w:eastAsia="仿宋" w:cs="仿宋"/>
          <w:spacing w:val="6"/>
          <w:sz w:val="32"/>
          <w:szCs w:val="32"/>
          <w:lang w:val="en-US" w:eastAsia="zh-CN"/>
        </w:rPr>
        <w:t>:4cm沥青混凝土面层+12cm级配砾石基层+15cm天然砂砾底基层；15cmC30水泥混凝土面层 +10cm天然砂砾基层。</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（三）项目预期成效</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项目建成后，结合以工代赈项目和当地乡村振兴战略实施，帮助难以通过市场就业的脱贫群众和其他农村低收入人口，特别是易地扶贫搬迁脱贫人口实现就近就业，获得稳定收入。项目实施后</w:t>
      </w:r>
      <w:r>
        <w:rPr>
          <w:rFonts w:hint="eastAsia" w:ascii="仿宋" w:hAnsi="仿宋" w:eastAsia="仿宋" w:cs="仿宋"/>
          <w:spacing w:val="6"/>
          <w:sz w:val="32"/>
          <w:szCs w:val="32"/>
          <w:lang w:eastAsia="zh-CN"/>
        </w:rPr>
        <w:t>受</w:t>
      </w:r>
      <w:r>
        <w:rPr>
          <w:rFonts w:hint="eastAsia" w:ascii="仿宋" w:hAnsi="仿宋" w:eastAsia="仿宋" w:cs="仿宋"/>
          <w:spacing w:val="6"/>
          <w:sz w:val="32"/>
          <w:szCs w:val="32"/>
        </w:rPr>
        <w:t>益人口</w:t>
      </w:r>
      <w:r>
        <w:rPr>
          <w:rFonts w:hint="eastAsia" w:ascii="仿宋" w:hAnsi="仿宋" w:eastAsia="仿宋" w:cs="仿宋"/>
          <w:spacing w:val="6"/>
          <w:sz w:val="32"/>
          <w:szCs w:val="32"/>
          <w:lang w:eastAsia="zh-CN"/>
        </w:rPr>
        <w:t>数≥</w:t>
      </w:r>
      <w:r>
        <w:rPr>
          <w:rFonts w:hint="eastAsia" w:ascii="仿宋" w:hAnsi="仿宋" w:eastAsia="仿宋" w:cs="仿宋"/>
          <w:spacing w:val="6"/>
          <w:sz w:val="32"/>
          <w:szCs w:val="32"/>
          <w:lang w:val="en-US" w:eastAsia="zh-CN"/>
        </w:rPr>
        <w:t>50</w:t>
      </w:r>
      <w:r>
        <w:rPr>
          <w:rFonts w:hint="eastAsia" w:ascii="仿宋" w:hAnsi="仿宋" w:eastAsia="仿宋" w:cs="仿宋"/>
          <w:spacing w:val="6"/>
          <w:sz w:val="32"/>
          <w:szCs w:val="32"/>
        </w:rPr>
        <w:t>人。</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p>
    <w:p>
      <w:pPr>
        <w:pStyle w:val="24"/>
        <w:pageBreakBefore w:val="0"/>
        <w:numPr>
          <w:ilvl w:val="0"/>
          <w:numId w:val="2"/>
        </w:numPr>
        <w:kinsoku/>
        <w:wordWrap/>
        <w:overflowPunct/>
        <w:topLinePunct w:val="0"/>
        <w:bidi w:val="0"/>
        <w:snapToGrid w:val="0"/>
        <w:spacing w:line="570" w:lineRule="exact"/>
        <w:ind w:left="-420" w:leftChars="0" w:firstLineChars="0"/>
        <w:textAlignment w:val="baseline"/>
        <w:outlineLvl w:val="0"/>
        <w:rPr>
          <w:rFonts w:hint="eastAsia" w:ascii="仿宋" w:hAnsi="仿宋" w:eastAsia="仿宋" w:cs="仿宋"/>
          <w:b/>
          <w:bCs/>
          <w:spacing w:val="6"/>
          <w:sz w:val="36"/>
          <w:szCs w:val="36"/>
          <w:lang w:eastAsia="zh-CN"/>
        </w:rPr>
      </w:pPr>
      <w:bookmarkStart w:id="9" w:name="_Toc30635"/>
      <w:r>
        <w:rPr>
          <w:rFonts w:hint="eastAsia" w:ascii="仿宋" w:hAnsi="仿宋" w:eastAsia="仿宋" w:cs="仿宋"/>
          <w:b/>
          <w:bCs/>
          <w:spacing w:val="6"/>
          <w:sz w:val="36"/>
          <w:szCs w:val="36"/>
          <w:lang w:eastAsia="zh-CN"/>
        </w:rPr>
        <w:t>项目选址与要素保障</w:t>
      </w:r>
      <w:bookmarkEnd w:id="9"/>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10" w:name="_Toc27004"/>
      <w:r>
        <w:rPr>
          <w:rFonts w:hint="eastAsia" w:ascii="仿宋" w:hAnsi="仿宋" w:eastAsia="仿宋" w:cs="仿宋"/>
          <w:b/>
          <w:bCs/>
          <w:spacing w:val="6"/>
          <w:sz w:val="32"/>
          <w:szCs w:val="32"/>
          <w:lang w:eastAsia="zh-CN"/>
        </w:rPr>
        <w:t>（一）项目选址</w:t>
      </w:r>
      <w:bookmarkEnd w:id="10"/>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本项目位于麦盖提县希依提墩乡、克孜勒阿瓦提乡境内，</w:t>
      </w:r>
      <w:r>
        <w:rPr>
          <w:rFonts w:hint="eastAsia" w:ascii="仿宋" w:hAnsi="仿宋" w:eastAsia="仿宋" w:cs="仿宋"/>
          <w:spacing w:val="6"/>
          <w:sz w:val="32"/>
          <w:szCs w:val="32"/>
        </w:rPr>
        <w:t>本项目建设用地均为已有老路，无占用耕地和林地、两侧</w:t>
      </w:r>
      <w:r>
        <w:rPr>
          <w:rFonts w:hint="eastAsia" w:ascii="仿宋" w:hAnsi="仿宋" w:eastAsia="仿宋" w:cs="仿宋"/>
          <w:spacing w:val="6"/>
          <w:sz w:val="32"/>
          <w:szCs w:val="32"/>
          <w:lang w:eastAsia="zh-CN"/>
        </w:rPr>
        <w:t>为农田、林带、灌溉渠</w:t>
      </w:r>
      <w:r>
        <w:rPr>
          <w:rFonts w:hint="eastAsia" w:ascii="仿宋" w:hAnsi="仿宋" w:eastAsia="仿宋" w:cs="仿宋"/>
          <w:spacing w:val="6"/>
          <w:sz w:val="32"/>
          <w:szCs w:val="32"/>
        </w:rPr>
        <w:t>。</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11" w:name="_Toc44"/>
      <w:r>
        <w:rPr>
          <w:rFonts w:hint="eastAsia" w:ascii="仿宋" w:hAnsi="仿宋" w:eastAsia="仿宋" w:cs="仿宋"/>
          <w:b/>
          <w:bCs/>
          <w:spacing w:val="6"/>
          <w:sz w:val="32"/>
          <w:szCs w:val="32"/>
          <w:lang w:eastAsia="zh-CN"/>
        </w:rPr>
        <w:t>（二）项目建设条件</w:t>
      </w:r>
      <w:bookmarkEnd w:id="11"/>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地理位置</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麦盖提县位于新疆维吾尔自治区南部，地处塔克拉玛干沙漠西南边缘、喀喇昆仑山北麓、叶尔羌河下游和提孜那甫河下游。地理位置为东经77°28'－79°05'，北纬38°25'－39°22'，东部隔大漠与和田地区皮山县相连，东北与阿克苏地区阿瓦提县相邻，南部与莎车县相邻、北部与巴楚县相邻，东西长160公里，南北宽136公里，总面积为1.52万平方公里。海拔1155米-1195米。县城距首府乌鲁木齐市公路里程1410公里、距喀什市175公里、距巴楚火车站150公里，位于叶河流域五个县的中心，是毗邻叶尔羌河中游的一颗明珠，故又有“小金三角”之称。</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地形、地貌</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rPr>
        <w:t>麦盖提县地处喀什地区中部，克孜河流中下游冲积，洪积平原，境内西北依山，东南深入戈壁，沙漠，地形为西北走向的开阔盆地，地势自西南向东北倾斜，平均海拔1200米。麦盖提县境在大地结构上经历过古生代晚期强烈的天山和西昆仑造山运动后。区域地壳变动，曾长期相对稳定，更早新世以后，区域新构造运动继续发展，这些地质构造现象说明区域受挤压地壳缩短变形强烈。</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区域地质条件</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路线范围为麦盖提县，麦盖提县城位于塔里木盆地边缘，塔里木盆地属于塔里木地台，位于天山、昆仑褶皱系之间，盆地东北为天山山脉，西为帕米尔高原，南为昆仑山脉，周边受深断裂围限，在形态上为菱形，塔里木盆地是一个比较稳定的地块，新构造运动中相对下降，盆地由西向东倾斜。来自昆仑山，天山的河流，搬运大量泥沙出山，大部分堆积于山簏，一部分进入平原地区，形成广阔的洪积-冲积平原及三角洲平原，以塔里木河冲积平原</w:t>
      </w:r>
      <w:r>
        <w:rPr>
          <w:rFonts w:hint="eastAsia" w:ascii="仿宋" w:hAnsi="仿宋" w:eastAsia="仿宋" w:cs="仿宋"/>
          <w:spacing w:val="6"/>
          <w:sz w:val="32"/>
          <w:szCs w:val="32"/>
          <w:lang w:eastAsia="zh-CN"/>
        </w:rPr>
        <w:t>较大</w:t>
      </w:r>
      <w:r>
        <w:rPr>
          <w:rFonts w:hint="eastAsia" w:ascii="仿宋" w:hAnsi="仿宋" w:eastAsia="仿宋" w:cs="仿宋"/>
          <w:spacing w:val="6"/>
          <w:sz w:val="32"/>
          <w:szCs w:val="32"/>
        </w:rPr>
        <w:t>，沿河冲积平原为第四纪冲积沙层和粉沙层，</w:t>
      </w:r>
      <w:r>
        <w:rPr>
          <w:rFonts w:hint="eastAsia" w:ascii="仿宋" w:hAnsi="仿宋" w:eastAsia="仿宋" w:cs="仿宋"/>
          <w:spacing w:val="6"/>
          <w:sz w:val="32"/>
          <w:szCs w:val="32"/>
          <w:lang w:eastAsia="zh-CN"/>
        </w:rPr>
        <w:t>较大</w:t>
      </w:r>
      <w:r>
        <w:rPr>
          <w:rFonts w:hint="eastAsia" w:ascii="仿宋" w:hAnsi="仿宋" w:eastAsia="仿宋" w:cs="仿宋"/>
          <w:spacing w:val="6"/>
          <w:sz w:val="32"/>
          <w:szCs w:val="32"/>
        </w:rPr>
        <w:t>厚度达300m，以风成地貌为主，气候极为干燥，在塔河下游，沿河新老漫滩及河阶地分布有大面积的天然胡杨林、红柳，在一些地下水位较高的洼地和沙丘之间生长着以矮生型芦苇、罗布麻为主的荒漠草甸植被。</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水文地质条件</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麦盖提境内地下水资源比较丰富。全县地质结构和地貌状态上属山前倾斜平原。自山前向盆地过渡，有冲积扇—溢出带—冲积平原的普遍沉积规律。地层岩性相应地由粗到细，冲积扇吸收大量河渠、田间渗漏水和山区裂隙水，形成地下径流；其中部分在冲积扇缘溢出地表，成为泉水或混入河渠，大部进入冲积含水地层，转化为地下潜水和承压水。地下径流方向与河水流向基本相同。拟建合同段路线所经地表径流均为农田区排、灌渠，未穿越自然河道。叶尔羌河及提孜那浦河为当地地下水的主要补给源，经挖探地下水位很高，地下水位多在1-2m，因蒸发强烈形成大片次生盐碱化土地。</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气候条件</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麦盖提县为温暖地带大陆性干旱气候，四季分明，气候干燥，日照时数长，晴好天气多，降水少，蒸发量大、昼夜温差大。</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b w:val="0"/>
          <w:bCs/>
          <w:spacing w:val="6"/>
          <w:sz w:val="32"/>
          <w:szCs w:val="32"/>
        </w:rPr>
        <w:t>气温：</w:t>
      </w:r>
      <w:r>
        <w:rPr>
          <w:rFonts w:hint="eastAsia" w:ascii="仿宋" w:hAnsi="仿宋" w:eastAsia="仿宋" w:cs="仿宋"/>
          <w:spacing w:val="6"/>
          <w:sz w:val="32"/>
          <w:szCs w:val="32"/>
        </w:rPr>
        <w:t> 麦盖提县属温带大陆性干燥气候，热量丰富，日照充足，昼夜温差大，冬季寒冷，夏季炎热，春季多风，秋季秋高气爽。年均日照2806小时以上，降水量39.4毫米，年积温4550小时以上，年平均气温11.8℃，最热月平均气温24.8℃，最冷月平均气温-6.8℃，极端最高气温40.0℃，极端最低气温-22.4℃。无霜期214天，</w:t>
      </w:r>
      <w:r>
        <w:rPr>
          <w:rFonts w:hint="eastAsia" w:ascii="仿宋" w:hAnsi="仿宋" w:eastAsia="仿宋" w:cs="仿宋"/>
          <w:spacing w:val="6"/>
          <w:sz w:val="32"/>
          <w:szCs w:val="32"/>
          <w:lang w:eastAsia="zh-CN"/>
        </w:rPr>
        <w:t>较大</w:t>
      </w:r>
      <w:r>
        <w:rPr>
          <w:rFonts w:hint="eastAsia" w:ascii="仿宋" w:hAnsi="仿宋" w:eastAsia="仿宋" w:cs="仿宋"/>
          <w:spacing w:val="6"/>
          <w:sz w:val="32"/>
          <w:szCs w:val="32"/>
        </w:rPr>
        <w:t>冻土深度为0.90米。</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筑路材料及运输条件</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拟建项目区施工过程中所用的主要材料包括砂、钢材、木材、水泥、砂砾石、天然砂砾材料和水等。</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p>
    <w:p>
      <w:pPr>
        <w:pStyle w:val="24"/>
        <w:pageBreakBefore w:val="0"/>
        <w:numPr>
          <w:ilvl w:val="0"/>
          <w:numId w:val="2"/>
        </w:numPr>
        <w:kinsoku/>
        <w:wordWrap/>
        <w:overflowPunct/>
        <w:topLinePunct w:val="0"/>
        <w:bidi w:val="0"/>
        <w:snapToGrid w:val="0"/>
        <w:spacing w:line="570" w:lineRule="exact"/>
        <w:ind w:left="-420" w:leftChars="0" w:firstLineChars="0"/>
        <w:textAlignment w:val="baseline"/>
        <w:outlineLvl w:val="0"/>
        <w:rPr>
          <w:rFonts w:hint="eastAsia" w:ascii="仿宋" w:hAnsi="仿宋" w:eastAsia="仿宋" w:cs="仿宋"/>
          <w:b/>
          <w:bCs/>
          <w:spacing w:val="6"/>
          <w:sz w:val="36"/>
          <w:szCs w:val="36"/>
          <w:lang w:eastAsia="zh-CN"/>
        </w:rPr>
      </w:pPr>
      <w:bookmarkStart w:id="12" w:name="_Toc26019"/>
      <w:r>
        <w:rPr>
          <w:rFonts w:hint="eastAsia" w:ascii="仿宋" w:hAnsi="仿宋" w:eastAsia="仿宋" w:cs="仿宋"/>
          <w:b/>
          <w:bCs/>
          <w:spacing w:val="6"/>
          <w:sz w:val="36"/>
          <w:szCs w:val="36"/>
          <w:lang w:eastAsia="zh-CN"/>
        </w:rPr>
        <w:t>项目建设方案</w:t>
      </w:r>
      <w:bookmarkEnd w:id="12"/>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13" w:name="_Toc11991"/>
      <w:r>
        <w:rPr>
          <w:rFonts w:hint="eastAsia" w:ascii="仿宋" w:hAnsi="仿宋" w:eastAsia="仿宋" w:cs="仿宋"/>
          <w:b/>
          <w:bCs/>
          <w:spacing w:val="6"/>
          <w:sz w:val="32"/>
          <w:szCs w:val="32"/>
          <w:lang w:eastAsia="zh-CN"/>
        </w:rPr>
        <w:t>（一）技术方案</w:t>
      </w:r>
      <w:bookmarkEnd w:id="13"/>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val="0"/>
          <w:bCs w:val="0"/>
          <w:spacing w:val="6"/>
          <w:sz w:val="32"/>
          <w:szCs w:val="32"/>
        </w:rPr>
      </w:pPr>
      <w:bookmarkStart w:id="14" w:name="_Toc17378"/>
      <w:r>
        <w:rPr>
          <w:rFonts w:hint="eastAsia" w:ascii="仿宋" w:hAnsi="仿宋" w:eastAsia="仿宋" w:cs="仿宋"/>
          <w:b w:val="0"/>
          <w:bCs w:val="0"/>
          <w:spacing w:val="6"/>
          <w:sz w:val="32"/>
          <w:szCs w:val="32"/>
        </w:rPr>
        <w:t>1</w:t>
      </w:r>
      <w:r>
        <w:rPr>
          <w:rFonts w:hint="eastAsia" w:ascii="仿宋" w:hAnsi="仿宋" w:eastAsia="仿宋" w:cs="仿宋"/>
          <w:b w:val="0"/>
          <w:bCs w:val="0"/>
          <w:spacing w:val="6"/>
          <w:sz w:val="32"/>
          <w:szCs w:val="32"/>
          <w:lang w:eastAsia="zh-CN"/>
        </w:rPr>
        <w:t>、</w:t>
      </w:r>
      <w:r>
        <w:rPr>
          <w:rFonts w:hint="eastAsia" w:ascii="仿宋" w:hAnsi="仿宋" w:eastAsia="仿宋" w:cs="仿宋"/>
          <w:b w:val="0"/>
          <w:bCs w:val="0"/>
          <w:spacing w:val="6"/>
          <w:sz w:val="32"/>
          <w:szCs w:val="32"/>
        </w:rPr>
        <w:t>项目设计（技术依据）</w:t>
      </w:r>
      <w:bookmarkEnd w:id="14"/>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●《公路工程基本建设项目设计文件编制办法》交公路发[2007]358号</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●《公路工程技术标准》（JTGB01－2014）</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●《公路工程抗震规范》（JTGB02—2013）</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●《公路路线设计规范》（JTGD20－2017）</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●《公路路基设计规范》（JTGD30－2015）</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●《公路水泥混凝土路面设计规范》（JTGD40—2011）</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●《公路桥涵设计通用规范》（JTGD60－2015）</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●《公路钢筋混凝土及预应力混凝土桥涵设计规范》（JTGD62－2004）</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●《公路桥涵地基与基础设计规范》（JTG3363－2019）</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●《公路桥梁抗震设计规范》（JTG/T2231-01－2020）</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●《公路涵洞设计规范》（JGJ/T3365-02-2020）</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●《公路排水设计规范》（JTG/TD33-2012）</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●《公路交通安全设施设计规范》（JTGD81－2017）</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●《道路交通标志和标线》（GB5768-2009）</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●《公路交通安全标志和标线设置规范》（JTGD82－2009）</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●《公路环境保护设计规范》（JTGB04-2010）</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●《新疆盐渍土地区公路路基路面设计与施工规范》（XJTJ01-2001）</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●《公路基本建设工程概算、预算编制办法》（JTG3830-2018）</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●国家现行的有关标准、规范、规程、规定等行施工图设计。</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●新疆维吾尔自治区公路管理局《新疆通村公路建设指南》进行施工图设计。</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国家及地方其他法律及规范。</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spacing w:val="6"/>
          <w:sz w:val="32"/>
          <w:szCs w:val="32"/>
        </w:rPr>
      </w:pPr>
      <w:bookmarkStart w:id="15" w:name="_Toc23166"/>
      <w:r>
        <w:rPr>
          <w:rFonts w:hint="eastAsia" w:ascii="仿宋" w:hAnsi="仿宋" w:eastAsia="仿宋" w:cs="仿宋"/>
          <w:spacing w:val="6"/>
          <w:sz w:val="32"/>
          <w:szCs w:val="32"/>
          <w:lang w:val="en-US" w:eastAsia="zh-CN"/>
        </w:rPr>
        <w:t>2、</w:t>
      </w:r>
      <w:r>
        <w:rPr>
          <w:rFonts w:hint="eastAsia" w:ascii="仿宋" w:hAnsi="仿宋" w:eastAsia="仿宋" w:cs="仿宋"/>
          <w:spacing w:val="6"/>
          <w:sz w:val="32"/>
          <w:szCs w:val="32"/>
        </w:rPr>
        <w:t>建设内容、规模、标准、投资设计等明细资料</w:t>
      </w:r>
      <w:bookmarkEnd w:id="15"/>
    </w:p>
    <w:p>
      <w:pPr>
        <w:pStyle w:val="24"/>
        <w:keepNext w:val="0"/>
        <w:keepLines w:val="0"/>
        <w:pageBreakBefore w:val="0"/>
        <w:widowControl w:val="0"/>
        <w:kinsoku/>
        <w:wordWrap/>
        <w:overflowPunct/>
        <w:topLinePunct w:val="0"/>
        <w:autoSpaceDE/>
        <w:autoSpaceDN/>
        <w:bidi w:val="0"/>
        <w:adjustRightInd/>
        <w:snapToGrid w:val="0"/>
        <w:spacing w:line="570" w:lineRule="exact"/>
        <w:ind w:left="0" w:leftChars="0" w:firstLine="667" w:firstLineChars="200"/>
        <w:textAlignment w:val="baseline"/>
        <w:rPr>
          <w:rFonts w:hint="eastAsia" w:ascii="仿宋" w:hAnsi="仿宋" w:eastAsia="仿宋" w:cs="仿宋"/>
          <w:spacing w:val="6"/>
          <w:sz w:val="32"/>
          <w:szCs w:val="32"/>
        </w:rPr>
      </w:pPr>
      <w:r>
        <w:rPr>
          <w:rFonts w:hint="eastAsia" w:ascii="仿宋" w:hAnsi="仿宋" w:eastAsia="仿宋" w:cs="仿宋"/>
          <w:b/>
          <w:bCs/>
          <w:spacing w:val="6"/>
          <w:sz w:val="32"/>
          <w:szCs w:val="32"/>
          <w:lang w:eastAsia="zh-CN"/>
        </w:rPr>
        <w:t>建设规模：</w:t>
      </w:r>
      <w:r>
        <w:rPr>
          <w:rFonts w:hint="eastAsia" w:ascii="仿宋" w:hAnsi="仿宋" w:eastAsia="仿宋" w:cs="仿宋"/>
          <w:spacing w:val="6"/>
          <w:sz w:val="32"/>
          <w:szCs w:val="32"/>
        </w:rPr>
        <w:t>新建</w:t>
      </w:r>
      <w:r>
        <w:rPr>
          <w:rFonts w:hint="eastAsia" w:ascii="仿宋" w:hAnsi="仿宋" w:eastAsia="仿宋" w:cs="仿宋"/>
          <w:spacing w:val="6"/>
          <w:sz w:val="32"/>
          <w:szCs w:val="32"/>
          <w:lang w:val="en-US" w:eastAsia="zh-CN"/>
        </w:rPr>
        <w:t>6</w:t>
      </w:r>
      <w:r>
        <w:rPr>
          <w:rFonts w:hint="eastAsia" w:ascii="仿宋" w:hAnsi="仿宋" w:eastAsia="仿宋" w:cs="仿宋"/>
          <w:spacing w:val="6"/>
          <w:sz w:val="32"/>
          <w:szCs w:val="32"/>
        </w:rPr>
        <w:t>公里道路</w:t>
      </w:r>
      <w:r>
        <w:rPr>
          <w:rFonts w:hint="eastAsia" w:ascii="仿宋" w:hAnsi="仿宋" w:eastAsia="仿宋" w:cs="仿宋"/>
          <w:spacing w:val="6"/>
          <w:sz w:val="32"/>
          <w:szCs w:val="32"/>
          <w:lang w:eastAsia="zh-CN"/>
        </w:rPr>
        <w:t>（沥青路</w:t>
      </w:r>
      <w:r>
        <w:rPr>
          <w:rFonts w:hint="eastAsia" w:ascii="仿宋" w:hAnsi="仿宋" w:eastAsia="仿宋" w:cs="仿宋"/>
          <w:spacing w:val="6"/>
          <w:sz w:val="32"/>
          <w:szCs w:val="32"/>
          <w:lang w:val="en-US" w:eastAsia="zh-CN"/>
        </w:rPr>
        <w:t>5.24km、水泥路0.76km</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highlight w:val="none"/>
        </w:rPr>
      </w:pPr>
      <w:r>
        <w:rPr>
          <w:rFonts w:hint="eastAsia" w:ascii="仿宋" w:hAnsi="仿宋" w:eastAsia="仿宋" w:cs="仿宋"/>
          <w:b/>
          <w:bCs/>
          <w:spacing w:val="6"/>
          <w:sz w:val="32"/>
          <w:szCs w:val="32"/>
          <w:lang w:eastAsia="zh-CN"/>
        </w:rPr>
        <w:t>建设内容</w:t>
      </w:r>
      <w:r>
        <w:rPr>
          <w:rFonts w:hint="eastAsia" w:ascii="仿宋" w:hAnsi="仿宋" w:eastAsia="仿宋" w:cs="仿宋"/>
          <w:b/>
          <w:bCs/>
          <w:spacing w:val="6"/>
          <w:sz w:val="32"/>
          <w:szCs w:val="32"/>
        </w:rPr>
        <w:t>：</w:t>
      </w:r>
      <w:r>
        <w:rPr>
          <w:rFonts w:hint="eastAsia" w:ascii="仿宋" w:hAnsi="仿宋" w:eastAsia="仿宋" w:cs="仿宋"/>
          <w:spacing w:val="6"/>
          <w:sz w:val="32"/>
          <w:szCs w:val="32"/>
        </w:rPr>
        <w:t>新建</w:t>
      </w:r>
      <w:r>
        <w:rPr>
          <w:rFonts w:hint="eastAsia" w:ascii="仿宋" w:hAnsi="仿宋" w:eastAsia="仿宋" w:cs="仿宋"/>
          <w:spacing w:val="6"/>
          <w:sz w:val="32"/>
          <w:szCs w:val="32"/>
          <w:lang w:val="en-US" w:eastAsia="zh-CN"/>
        </w:rPr>
        <w:t>6</w:t>
      </w:r>
      <w:r>
        <w:rPr>
          <w:rFonts w:hint="eastAsia" w:ascii="仿宋" w:hAnsi="仿宋" w:eastAsia="仿宋" w:cs="仿宋"/>
          <w:spacing w:val="6"/>
          <w:sz w:val="32"/>
          <w:szCs w:val="32"/>
        </w:rPr>
        <w:t>公里道路</w:t>
      </w:r>
      <w:r>
        <w:rPr>
          <w:rFonts w:hint="eastAsia" w:ascii="仿宋" w:hAnsi="仿宋" w:eastAsia="仿宋" w:cs="仿宋"/>
          <w:spacing w:val="6"/>
          <w:sz w:val="32"/>
          <w:szCs w:val="32"/>
          <w:lang w:eastAsia="zh-CN"/>
        </w:rPr>
        <w:t>（沥青路</w:t>
      </w:r>
      <w:r>
        <w:rPr>
          <w:rFonts w:hint="eastAsia" w:ascii="仿宋" w:hAnsi="仿宋" w:eastAsia="仿宋" w:cs="仿宋"/>
          <w:spacing w:val="6"/>
          <w:sz w:val="32"/>
          <w:szCs w:val="32"/>
          <w:lang w:val="en-US" w:eastAsia="zh-CN"/>
        </w:rPr>
        <w:t>5.24km、水泥路0.76km</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highlight w:val="none"/>
          <w:lang w:eastAsia="zh-CN"/>
        </w:rPr>
        <w:t>，及相关附属设施建设。</w:t>
      </w:r>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spacing w:val="6"/>
          <w:sz w:val="32"/>
          <w:szCs w:val="32"/>
          <w:highlight w:val="none"/>
        </w:rPr>
      </w:pPr>
      <w:r>
        <w:rPr>
          <w:rFonts w:hint="eastAsia" w:ascii="仿宋" w:hAnsi="仿宋" w:eastAsia="仿宋" w:cs="仿宋"/>
          <w:b/>
          <w:bCs/>
          <w:spacing w:val="6"/>
          <w:sz w:val="32"/>
          <w:szCs w:val="32"/>
          <w:highlight w:val="none"/>
        </w:rPr>
        <w:t>主要控制点及走向：</w:t>
      </w:r>
      <w:r>
        <w:rPr>
          <w:rFonts w:hint="eastAsia" w:ascii="仿宋" w:hAnsi="仿宋" w:eastAsia="仿宋" w:cs="仿宋"/>
          <w:spacing w:val="6"/>
          <w:sz w:val="32"/>
          <w:szCs w:val="32"/>
          <w:highlight w:val="none"/>
        </w:rPr>
        <w:t>主要控制点为</w:t>
      </w:r>
      <w:r>
        <w:rPr>
          <w:rFonts w:hint="eastAsia" w:ascii="仿宋" w:hAnsi="仿宋" w:eastAsia="仿宋" w:cs="仿宋"/>
          <w:spacing w:val="6"/>
          <w:sz w:val="32"/>
          <w:szCs w:val="32"/>
          <w:highlight w:val="none"/>
          <w:lang w:eastAsia="zh-CN"/>
        </w:rPr>
        <w:t>路线</w:t>
      </w:r>
      <w:r>
        <w:rPr>
          <w:rFonts w:hint="eastAsia" w:ascii="仿宋" w:hAnsi="仿宋" w:eastAsia="仿宋" w:cs="仿宋"/>
          <w:spacing w:val="6"/>
          <w:sz w:val="32"/>
          <w:szCs w:val="32"/>
          <w:highlight w:val="none"/>
        </w:rPr>
        <w:t>起终点</w:t>
      </w:r>
      <w:r>
        <w:rPr>
          <w:rFonts w:hint="eastAsia" w:ascii="仿宋" w:hAnsi="仿宋" w:eastAsia="仿宋" w:cs="仿宋"/>
          <w:spacing w:val="6"/>
          <w:sz w:val="32"/>
          <w:szCs w:val="32"/>
          <w:highlight w:val="none"/>
          <w:lang w:eastAsia="zh-CN"/>
        </w:rPr>
        <w:t>及沿线构造物，新建道路不改变原老路的走向位置</w:t>
      </w:r>
      <w:r>
        <w:rPr>
          <w:rFonts w:hint="eastAsia" w:ascii="仿宋" w:hAnsi="仿宋" w:eastAsia="仿宋" w:cs="仿宋"/>
          <w:spacing w:val="6"/>
          <w:sz w:val="32"/>
          <w:szCs w:val="32"/>
          <w:highlight w:val="none"/>
        </w:rPr>
        <w:t>。</w:t>
      </w:r>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b/>
          <w:bCs/>
          <w:spacing w:val="6"/>
          <w:sz w:val="32"/>
          <w:szCs w:val="32"/>
          <w:highlight w:val="none"/>
        </w:rPr>
      </w:pPr>
      <w:r>
        <w:rPr>
          <w:rFonts w:hint="eastAsia" w:ascii="仿宋" w:hAnsi="仿宋" w:eastAsia="仿宋" w:cs="仿宋"/>
          <w:b/>
          <w:bCs/>
          <w:spacing w:val="6"/>
          <w:sz w:val="32"/>
          <w:szCs w:val="32"/>
          <w:highlight w:val="none"/>
        </w:rPr>
        <w:t>技术经济指标</w:t>
      </w:r>
    </w:p>
    <w:p>
      <w:pPr>
        <w:spacing w:line="360" w:lineRule="auto"/>
        <w:jc w:val="center"/>
        <w:rPr>
          <w:rFonts w:hint="eastAsia" w:ascii="仿宋" w:hAnsi="仿宋" w:eastAsia="仿宋" w:cs="仿宋"/>
          <w:b/>
          <w:bCs w:val="0"/>
          <w:sz w:val="24"/>
        </w:rPr>
      </w:pPr>
      <w:r>
        <w:rPr>
          <w:rFonts w:hint="eastAsia" w:ascii="仿宋" w:hAnsi="仿宋" w:eastAsia="仿宋" w:cs="仿宋"/>
          <w:b/>
          <w:bCs w:val="0"/>
          <w:sz w:val="24"/>
        </w:rPr>
        <w:t>设计标准</w:t>
      </w:r>
    </w:p>
    <w:tbl>
      <w:tblPr>
        <w:tblStyle w:val="13"/>
        <w:tblpPr w:leftFromText="180" w:rightFromText="180" w:vertAnchor="text" w:horzAnchor="page" w:tblpX="1675" w:tblpY="517"/>
        <w:tblOverlap w:val="never"/>
        <w:tblW w:w="0" w:type="auto"/>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1"/>
        <w:gridCol w:w="1148"/>
        <w:gridCol w:w="393"/>
        <w:gridCol w:w="393"/>
        <w:gridCol w:w="1296"/>
        <w:gridCol w:w="1400"/>
        <w:gridCol w:w="1478"/>
        <w:gridCol w:w="2210"/>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序号</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项目</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单位</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技术标准</w:t>
            </w:r>
          </w:p>
        </w:tc>
        <w:tc>
          <w:tcPr>
            <w:tcW w:w="2210" w:type="dxa"/>
            <w:tcBorders>
              <w:lef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实际标准</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公路等级</w:t>
            </w:r>
          </w:p>
        </w:tc>
        <w:tc>
          <w:tcPr>
            <w:tcW w:w="1400" w:type="dxa"/>
            <w:noWrap w:val="0"/>
            <w:vAlign w:val="center"/>
          </w:tcPr>
          <w:p>
            <w:pPr>
              <w:jc w:val="center"/>
              <w:rPr>
                <w:rFonts w:hint="eastAsia" w:ascii="仿宋" w:hAnsi="仿宋" w:eastAsia="仿宋" w:cs="仿宋"/>
                <w:szCs w:val="21"/>
              </w:rPr>
            </w:pP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四级公路</w:t>
            </w:r>
          </w:p>
        </w:tc>
        <w:tc>
          <w:tcPr>
            <w:tcW w:w="2210" w:type="dxa"/>
            <w:tcBorders>
              <w:lef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四级公路</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设计速度</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km/h</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20</w:t>
            </w:r>
          </w:p>
        </w:tc>
        <w:tc>
          <w:tcPr>
            <w:tcW w:w="2210" w:type="dxa"/>
            <w:tcBorders>
              <w:lef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20</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路基（路面）宽度</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6.5（6.0）</w:t>
            </w:r>
          </w:p>
        </w:tc>
        <w:tc>
          <w:tcPr>
            <w:tcW w:w="2210" w:type="dxa"/>
            <w:tcBorders>
              <w:left w:val="single" w:color="auto" w:sz="4" w:space="0"/>
            </w:tcBorders>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4.5（4.0）/4.0（3.5）/4.0（3.0）</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设计荷载</w:t>
            </w:r>
          </w:p>
        </w:tc>
        <w:tc>
          <w:tcPr>
            <w:tcW w:w="1400" w:type="dxa"/>
            <w:noWrap w:val="0"/>
            <w:vAlign w:val="center"/>
          </w:tcPr>
          <w:p>
            <w:pPr>
              <w:jc w:val="center"/>
              <w:rPr>
                <w:rFonts w:hint="eastAsia" w:ascii="仿宋" w:hAnsi="仿宋" w:eastAsia="仿宋" w:cs="仿宋"/>
                <w:szCs w:val="21"/>
              </w:rPr>
            </w:pP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公路-II级</w:t>
            </w:r>
          </w:p>
        </w:tc>
        <w:tc>
          <w:tcPr>
            <w:tcW w:w="2210" w:type="dxa"/>
            <w:tcBorders>
              <w:lef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公路-II级</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5</w:t>
            </w:r>
          </w:p>
        </w:tc>
        <w:tc>
          <w:tcPr>
            <w:tcW w:w="1541" w:type="dxa"/>
            <w:gridSpan w:val="2"/>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平曲线半径</w:t>
            </w:r>
          </w:p>
        </w:tc>
        <w:tc>
          <w:tcPr>
            <w:tcW w:w="1689"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一般/极限</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30/15</w:t>
            </w:r>
          </w:p>
        </w:tc>
        <w:tc>
          <w:tcPr>
            <w:tcW w:w="2210" w:type="dxa"/>
            <w:tcBorders>
              <w:left w:val="single" w:color="auto" w:sz="4" w:space="0"/>
              <w:bottom w:val="single" w:color="auto" w:sz="4" w:space="0"/>
            </w:tcBorders>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15</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vMerge w:val="continue"/>
            <w:noWrap w:val="0"/>
            <w:vAlign w:val="center"/>
          </w:tcPr>
          <w:p>
            <w:pPr>
              <w:jc w:val="center"/>
              <w:rPr>
                <w:rFonts w:hint="eastAsia" w:ascii="仿宋" w:hAnsi="仿宋" w:eastAsia="仿宋" w:cs="仿宋"/>
                <w:szCs w:val="21"/>
              </w:rPr>
            </w:pPr>
          </w:p>
        </w:tc>
        <w:tc>
          <w:tcPr>
            <w:tcW w:w="1541" w:type="dxa"/>
            <w:gridSpan w:val="2"/>
            <w:vMerge w:val="continue"/>
            <w:noWrap w:val="0"/>
            <w:vAlign w:val="center"/>
          </w:tcPr>
          <w:p>
            <w:pPr>
              <w:jc w:val="center"/>
              <w:rPr>
                <w:rFonts w:hint="eastAsia" w:ascii="仿宋" w:hAnsi="仿宋" w:eastAsia="仿宋" w:cs="仿宋"/>
                <w:szCs w:val="21"/>
              </w:rPr>
            </w:pPr>
          </w:p>
        </w:tc>
        <w:tc>
          <w:tcPr>
            <w:tcW w:w="1689"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不设超高最小</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150</w:t>
            </w:r>
          </w:p>
        </w:tc>
        <w:tc>
          <w:tcPr>
            <w:tcW w:w="2210" w:type="dxa"/>
            <w:tcBorders>
              <w:top w:val="single" w:color="auto" w:sz="4" w:space="0"/>
              <w:lef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6</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平曲线最小长度</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40</w:t>
            </w:r>
          </w:p>
        </w:tc>
        <w:tc>
          <w:tcPr>
            <w:tcW w:w="2210" w:type="dxa"/>
            <w:tcBorders>
              <w:left w:val="single" w:color="auto" w:sz="4" w:space="0"/>
            </w:tcBorders>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40</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7</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最大纵坡</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9</w:t>
            </w:r>
          </w:p>
        </w:tc>
        <w:tc>
          <w:tcPr>
            <w:tcW w:w="2210" w:type="dxa"/>
            <w:tcBorders>
              <w:left w:val="single" w:color="auto" w:sz="4" w:space="0"/>
            </w:tcBorders>
            <w:noWrap w:val="0"/>
            <w:vAlign w:val="center"/>
          </w:tcPr>
          <w:p>
            <w:pPr>
              <w:jc w:val="center"/>
              <w:rPr>
                <w:rFonts w:hint="default"/>
                <w:lang w:val="en-US" w:eastAsia="zh-CN"/>
              </w:rPr>
            </w:pPr>
            <w:r>
              <w:rPr>
                <w:rFonts w:hint="eastAsia"/>
                <w:lang w:val="en-US" w:eastAsia="zh-CN"/>
              </w:rPr>
              <w:t>3.1</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atLeast"/>
        </w:trPr>
        <w:tc>
          <w:tcPr>
            <w:tcW w:w="541" w:type="dxa"/>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8</w:t>
            </w:r>
          </w:p>
        </w:tc>
        <w:tc>
          <w:tcPr>
            <w:tcW w:w="1148" w:type="dxa"/>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最小竖曲线半径</w:t>
            </w:r>
          </w:p>
        </w:tc>
        <w:tc>
          <w:tcPr>
            <w:tcW w:w="786"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凸型</w:t>
            </w:r>
          </w:p>
        </w:tc>
        <w:tc>
          <w:tcPr>
            <w:tcW w:w="1296" w:type="dxa"/>
            <w:noWrap w:val="0"/>
            <w:vAlign w:val="center"/>
          </w:tcPr>
          <w:p>
            <w:pPr>
              <w:jc w:val="center"/>
              <w:rPr>
                <w:rFonts w:hint="eastAsia" w:ascii="仿宋" w:hAnsi="仿宋" w:eastAsia="仿宋" w:cs="仿宋"/>
                <w:szCs w:val="21"/>
              </w:rPr>
            </w:pPr>
            <w:r>
              <w:rPr>
                <w:rFonts w:hint="eastAsia" w:ascii="仿宋" w:hAnsi="仿宋" w:eastAsia="仿宋" w:cs="仿宋"/>
                <w:szCs w:val="21"/>
              </w:rPr>
              <w:t>一般/极限</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noWrap w:val="0"/>
            <w:vAlign w:val="center"/>
          </w:tcPr>
          <w:p>
            <w:pPr>
              <w:ind w:firstLine="210" w:firstLineChars="100"/>
              <w:rPr>
                <w:rFonts w:hint="eastAsia" w:ascii="仿宋" w:hAnsi="仿宋" w:eastAsia="仿宋" w:cs="仿宋"/>
                <w:szCs w:val="21"/>
              </w:rPr>
            </w:pPr>
            <w:r>
              <w:rPr>
                <w:rFonts w:hint="eastAsia" w:ascii="仿宋" w:hAnsi="仿宋" w:eastAsia="仿宋" w:cs="仿宋"/>
                <w:szCs w:val="21"/>
              </w:rPr>
              <w:t>200/100</w:t>
            </w:r>
          </w:p>
        </w:tc>
        <w:tc>
          <w:tcPr>
            <w:tcW w:w="2210" w:type="dxa"/>
            <w:tcBorders>
              <w:left w:val="single" w:color="auto" w:sz="4" w:space="0"/>
            </w:tcBorders>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1000/1</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vMerge w:val="continue"/>
            <w:noWrap w:val="0"/>
            <w:vAlign w:val="center"/>
          </w:tcPr>
          <w:p>
            <w:pPr>
              <w:jc w:val="center"/>
              <w:rPr>
                <w:rFonts w:hint="eastAsia" w:ascii="仿宋" w:hAnsi="仿宋" w:eastAsia="仿宋" w:cs="仿宋"/>
                <w:szCs w:val="21"/>
              </w:rPr>
            </w:pPr>
          </w:p>
        </w:tc>
        <w:tc>
          <w:tcPr>
            <w:tcW w:w="1148" w:type="dxa"/>
            <w:vMerge w:val="continue"/>
            <w:noWrap w:val="0"/>
            <w:vAlign w:val="center"/>
          </w:tcPr>
          <w:p>
            <w:pPr>
              <w:jc w:val="center"/>
              <w:rPr>
                <w:rFonts w:hint="eastAsia" w:ascii="仿宋" w:hAnsi="仿宋" w:eastAsia="仿宋" w:cs="仿宋"/>
                <w:szCs w:val="21"/>
              </w:rPr>
            </w:pPr>
          </w:p>
        </w:tc>
        <w:tc>
          <w:tcPr>
            <w:tcW w:w="786"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凹型</w:t>
            </w:r>
          </w:p>
        </w:tc>
        <w:tc>
          <w:tcPr>
            <w:tcW w:w="1296" w:type="dxa"/>
            <w:noWrap w:val="0"/>
            <w:vAlign w:val="center"/>
          </w:tcPr>
          <w:p>
            <w:pPr>
              <w:jc w:val="center"/>
              <w:rPr>
                <w:rFonts w:hint="eastAsia" w:ascii="仿宋" w:hAnsi="仿宋" w:eastAsia="仿宋" w:cs="仿宋"/>
                <w:szCs w:val="21"/>
              </w:rPr>
            </w:pPr>
            <w:r>
              <w:rPr>
                <w:rFonts w:hint="eastAsia" w:ascii="仿宋" w:hAnsi="仿宋" w:eastAsia="仿宋" w:cs="仿宋"/>
                <w:szCs w:val="21"/>
              </w:rPr>
              <w:t>一般/极限</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200/100</w:t>
            </w:r>
          </w:p>
        </w:tc>
        <w:tc>
          <w:tcPr>
            <w:tcW w:w="2210" w:type="dxa"/>
            <w:tcBorders>
              <w:lef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lang w:val="en-US" w:eastAsia="zh-CN"/>
              </w:rPr>
              <w:t>1000</w:t>
            </w:r>
            <w:r>
              <w:rPr>
                <w:rFonts w:hint="eastAsia" w:ascii="仿宋" w:hAnsi="仿宋" w:eastAsia="仿宋" w:cs="仿宋"/>
                <w:szCs w:val="21"/>
              </w:rPr>
              <w:t>/1</w:t>
            </w:r>
          </w:p>
        </w:tc>
      </w:tr>
    </w:tbl>
    <w:p>
      <w:pPr>
        <w:pStyle w:val="24"/>
        <w:keepNext w:val="0"/>
        <w:keepLines w:val="0"/>
        <w:pageBreakBefore w:val="0"/>
        <w:widowControl w:val="0"/>
        <w:kinsoku/>
        <w:wordWrap/>
        <w:overflowPunct/>
        <w:topLinePunct w:val="0"/>
        <w:autoSpaceDE/>
        <w:autoSpaceDN/>
        <w:bidi w:val="0"/>
        <w:adjustRightInd/>
        <w:snapToGrid w:val="0"/>
        <w:spacing w:line="570" w:lineRule="exact"/>
        <w:jc w:val="center"/>
        <w:textAlignment w:val="baseline"/>
        <w:rPr>
          <w:rFonts w:hint="eastAsia" w:ascii="仿宋" w:hAnsi="仿宋" w:eastAsia="仿宋" w:cs="仿宋"/>
          <w:spacing w:val="6"/>
          <w:sz w:val="32"/>
          <w:szCs w:val="32"/>
          <w:highlight w:val="none"/>
          <w:lang w:eastAsia="zh-CN"/>
        </w:rPr>
      </w:pP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16" w:name="_Toc24160"/>
      <w:r>
        <w:rPr>
          <w:rFonts w:hint="eastAsia" w:ascii="仿宋" w:hAnsi="仿宋" w:eastAsia="仿宋" w:cs="仿宋"/>
          <w:b/>
          <w:bCs/>
          <w:spacing w:val="6"/>
          <w:sz w:val="32"/>
          <w:szCs w:val="32"/>
          <w:lang w:eastAsia="zh-CN"/>
        </w:rPr>
        <w:t>（二）工程方案</w:t>
      </w:r>
      <w:bookmarkEnd w:id="16"/>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val="0"/>
          <w:bCs w:val="0"/>
          <w:spacing w:val="6"/>
          <w:sz w:val="32"/>
          <w:szCs w:val="32"/>
        </w:rPr>
      </w:pPr>
      <w:bookmarkStart w:id="17" w:name="_Toc32458"/>
      <w:bookmarkStart w:id="18" w:name="_Toc24772"/>
      <w:r>
        <w:rPr>
          <w:rFonts w:hint="eastAsia" w:ascii="仿宋" w:hAnsi="仿宋" w:eastAsia="仿宋" w:cs="仿宋"/>
          <w:b w:val="0"/>
          <w:bCs w:val="0"/>
          <w:spacing w:val="6"/>
          <w:sz w:val="32"/>
          <w:szCs w:val="32"/>
          <w:lang w:val="en-US" w:eastAsia="zh-CN"/>
        </w:rPr>
        <w:t>1、</w:t>
      </w:r>
      <w:r>
        <w:rPr>
          <w:rFonts w:hint="eastAsia" w:ascii="仿宋" w:hAnsi="仿宋" w:eastAsia="仿宋" w:cs="仿宋"/>
          <w:b w:val="0"/>
          <w:bCs w:val="0"/>
          <w:spacing w:val="6"/>
          <w:sz w:val="32"/>
          <w:szCs w:val="32"/>
        </w:rPr>
        <w:t>项目实施进度计划</w:t>
      </w:r>
      <w:bookmarkEnd w:id="17"/>
      <w:bookmarkEnd w:id="18"/>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根据路网现状、交通量预测、经济评价结果，推荐方案工</w:t>
      </w:r>
      <w:r>
        <w:rPr>
          <w:rFonts w:hint="eastAsia" w:ascii="仿宋" w:hAnsi="仿宋" w:eastAsia="仿宋" w:cs="仿宋"/>
          <w:spacing w:val="6"/>
          <w:sz w:val="32"/>
          <w:szCs w:val="32"/>
          <w:highlight w:val="none"/>
        </w:rPr>
        <w:t>程内容、建设规模、技术标准等，以及项目区域内地形、地质、水文条件和具体的场地建设条件，本项目的工程施工工期安排为</w:t>
      </w:r>
      <w:r>
        <w:rPr>
          <w:rFonts w:hint="eastAsia" w:ascii="仿宋" w:hAnsi="仿宋" w:eastAsia="仿宋" w:cs="仿宋"/>
          <w:spacing w:val="6"/>
          <w:sz w:val="32"/>
          <w:szCs w:val="32"/>
          <w:highlight w:val="none"/>
          <w:lang w:val="en-US" w:eastAsia="zh-CN"/>
        </w:rPr>
        <w:t>3</w:t>
      </w:r>
      <w:r>
        <w:rPr>
          <w:rFonts w:hint="eastAsia" w:ascii="仿宋" w:hAnsi="仿宋" w:eastAsia="仿宋" w:cs="仿宋"/>
          <w:spacing w:val="6"/>
          <w:sz w:val="32"/>
          <w:szCs w:val="32"/>
          <w:highlight w:val="none"/>
        </w:rPr>
        <w:t>个月，</w:t>
      </w:r>
      <w:r>
        <w:rPr>
          <w:rFonts w:hint="eastAsia" w:ascii="仿宋" w:hAnsi="仿宋" w:eastAsia="仿宋" w:cs="仿宋"/>
          <w:spacing w:val="6"/>
          <w:sz w:val="32"/>
          <w:szCs w:val="32"/>
          <w:highlight w:val="none"/>
          <w:lang w:eastAsia="zh-CN"/>
        </w:rPr>
        <w:t>施工时间在</w:t>
      </w:r>
      <w:r>
        <w:rPr>
          <w:rFonts w:hint="eastAsia" w:ascii="仿宋" w:hAnsi="仿宋" w:eastAsia="仿宋" w:cs="仿宋"/>
          <w:spacing w:val="6"/>
          <w:sz w:val="32"/>
          <w:szCs w:val="32"/>
          <w:highlight w:val="none"/>
          <w:lang w:val="en-US" w:eastAsia="zh-CN"/>
        </w:rPr>
        <w:t>2024年3月-6月</w:t>
      </w:r>
      <w:r>
        <w:rPr>
          <w:rFonts w:hint="eastAsia" w:ascii="仿宋" w:hAnsi="仿宋" w:eastAsia="仿宋" w:cs="仿宋"/>
          <w:spacing w:val="6"/>
          <w:sz w:val="32"/>
          <w:szCs w:val="32"/>
          <w:highlight w:val="none"/>
        </w:rPr>
        <w:t>。</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rPr>
        <w:t>前期工作</w:t>
      </w:r>
      <w:r>
        <w:rPr>
          <w:rFonts w:hint="eastAsia" w:ascii="仿宋" w:hAnsi="仿宋" w:eastAsia="仿宋" w:cs="仿宋"/>
          <w:spacing w:val="6"/>
          <w:sz w:val="32"/>
          <w:szCs w:val="32"/>
          <w:lang w:eastAsia="zh-CN"/>
        </w:rPr>
        <w:t>完成情况</w:t>
      </w:r>
      <w:r>
        <w:rPr>
          <w:rFonts w:hint="eastAsia" w:ascii="仿宋" w:hAnsi="仿宋" w:eastAsia="仿宋" w:cs="仿宋"/>
          <w:spacing w:val="6"/>
          <w:sz w:val="32"/>
          <w:szCs w:val="32"/>
        </w:rPr>
        <w:t>:</w:t>
      </w:r>
      <w:r>
        <w:rPr>
          <w:rFonts w:hint="eastAsia" w:ascii="仿宋" w:hAnsi="仿宋" w:eastAsia="仿宋" w:cs="仿宋"/>
          <w:spacing w:val="6"/>
          <w:sz w:val="32"/>
          <w:szCs w:val="32"/>
          <w:lang w:val="en-US" w:eastAsia="zh-CN"/>
        </w:rPr>
        <w:t>目前项目前期手续已全部完成，待资金到位后即可实施。</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val="0"/>
          <w:bCs w:val="0"/>
          <w:spacing w:val="6"/>
          <w:sz w:val="32"/>
          <w:szCs w:val="32"/>
          <w:lang w:val="en-US" w:eastAsia="zh-CN"/>
        </w:rPr>
      </w:pPr>
      <w:bookmarkStart w:id="19" w:name="_Toc16365"/>
      <w:r>
        <w:rPr>
          <w:rFonts w:hint="eastAsia" w:ascii="仿宋" w:hAnsi="仿宋" w:eastAsia="仿宋" w:cs="仿宋"/>
          <w:b w:val="0"/>
          <w:bCs w:val="0"/>
          <w:spacing w:val="6"/>
          <w:sz w:val="32"/>
          <w:szCs w:val="32"/>
          <w:lang w:val="en-US" w:eastAsia="zh-CN"/>
        </w:rPr>
        <w:t>2、招标方案</w:t>
      </w:r>
      <w:bookmarkEnd w:id="19"/>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建设过程中，要认真贯彻公路建设四项制度，即“项目法人责任制、招标投标制、工程监理和合同管理制”。项目实施前，应通过招、投标，选择资质等级高、信誉好、施工技术力量强的施工单位承担施工任务，工程实施中，监理单位应对每道工序认真检测，做好质量、工期、投资三大控制。项目法人对工程负责，处理好施工单位与监理单位的关系，以保证工程顺利实施。</w:t>
      </w:r>
    </w:p>
    <w:p>
      <w:pPr>
        <w:pageBreakBefore w:val="0"/>
        <w:kinsoku/>
        <w:wordWrap/>
        <w:overflowPunct/>
        <w:topLinePunct w:val="0"/>
        <w:bidi w:val="0"/>
        <w:spacing w:line="570" w:lineRule="exact"/>
        <w:ind w:firstLine="664" w:firstLineChars="20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该项目的施工、监理等活动全部进行招标。</w:t>
      </w:r>
    </w:p>
    <w:p>
      <w:pPr>
        <w:pageBreakBefore w:val="0"/>
        <w:kinsoku/>
        <w:wordWrap/>
        <w:overflowPunct/>
        <w:topLinePunct w:val="0"/>
        <w:bidi w:val="0"/>
        <w:spacing w:line="570" w:lineRule="exact"/>
        <w:ind w:firstLine="664" w:firstLineChars="20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该建设项目的招标组织形式拟采用委托招标，即由建设单位委托第三方组织招标活动。该建设项目的设计、施工、监理等活动拟采用委托招标方式。</w:t>
      </w:r>
    </w:p>
    <w:p>
      <w:pPr>
        <w:pageBreakBefore w:val="0"/>
        <w:kinsoku/>
        <w:wordWrap/>
        <w:overflowPunct/>
        <w:topLinePunct w:val="0"/>
        <w:bidi w:val="0"/>
        <w:spacing w:line="570" w:lineRule="exact"/>
        <w:ind w:firstLine="664" w:firstLineChars="20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拟建公路招标基本情况见表：</w:t>
      </w:r>
    </w:p>
    <w:p>
      <w:pPr>
        <w:pageBreakBefore w:val="0"/>
        <w:kinsoku/>
        <w:wordWrap/>
        <w:overflowPunct/>
        <w:topLinePunct w:val="0"/>
        <w:bidi w:val="0"/>
        <w:spacing w:line="570" w:lineRule="exact"/>
        <w:jc w:val="center"/>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招　标　基　本　情　况　表</w:t>
      </w:r>
    </w:p>
    <w:tbl>
      <w:tblPr>
        <w:tblStyle w:val="13"/>
        <w:tblW w:w="0" w:type="auto"/>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68"/>
        <w:gridCol w:w="1093"/>
        <w:gridCol w:w="1403"/>
        <w:gridCol w:w="1008"/>
        <w:gridCol w:w="1348"/>
        <w:gridCol w:w="1348"/>
        <w:gridCol w:w="1348"/>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1668" w:type="dxa"/>
            <w:vMerge w:val="restart"/>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名称项目</w:t>
            </w:r>
          </w:p>
        </w:tc>
        <w:tc>
          <w:tcPr>
            <w:tcW w:w="2496" w:type="dxa"/>
            <w:gridSpan w:val="2"/>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招标范围</w:t>
            </w:r>
          </w:p>
        </w:tc>
        <w:tc>
          <w:tcPr>
            <w:tcW w:w="2356" w:type="dxa"/>
            <w:gridSpan w:val="2"/>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招标组织形式</w:t>
            </w:r>
          </w:p>
        </w:tc>
        <w:tc>
          <w:tcPr>
            <w:tcW w:w="2696" w:type="dxa"/>
            <w:gridSpan w:val="2"/>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招标方式</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668" w:type="dxa"/>
            <w:vMerge w:val="continue"/>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09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全部</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c>
          <w:tcPr>
            <w:tcW w:w="140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部分</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c>
          <w:tcPr>
            <w:tcW w:w="100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自行</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委托</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公开</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邀请</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66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建筑安装工程</w:t>
            </w:r>
          </w:p>
        </w:tc>
        <w:tc>
          <w:tcPr>
            <w:tcW w:w="109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c>
          <w:tcPr>
            <w:tcW w:w="140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00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66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监理</w:t>
            </w:r>
          </w:p>
        </w:tc>
        <w:tc>
          <w:tcPr>
            <w:tcW w:w="109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c>
          <w:tcPr>
            <w:tcW w:w="140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00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66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设备</w:t>
            </w:r>
          </w:p>
        </w:tc>
        <w:tc>
          <w:tcPr>
            <w:tcW w:w="109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40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00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66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设计</w:t>
            </w:r>
          </w:p>
        </w:tc>
        <w:tc>
          <w:tcPr>
            <w:tcW w:w="109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40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00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r>
    </w:tbl>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val="0"/>
          <w:bCs w:val="0"/>
          <w:spacing w:val="6"/>
          <w:sz w:val="32"/>
          <w:szCs w:val="32"/>
          <w:lang w:val="en-US" w:eastAsia="zh-CN"/>
        </w:rPr>
      </w:pPr>
      <w:bookmarkStart w:id="20" w:name="_Toc32295"/>
      <w:bookmarkStart w:id="21" w:name="_Toc23197"/>
      <w:r>
        <w:rPr>
          <w:rFonts w:hint="eastAsia" w:ascii="仿宋" w:hAnsi="仿宋" w:eastAsia="仿宋" w:cs="仿宋"/>
          <w:b w:val="0"/>
          <w:bCs w:val="0"/>
          <w:spacing w:val="6"/>
          <w:sz w:val="32"/>
          <w:szCs w:val="32"/>
          <w:lang w:val="en-US" w:eastAsia="zh-CN"/>
        </w:rPr>
        <w:t>3、项目公告公示</w:t>
      </w:r>
      <w:bookmarkEnd w:id="20"/>
      <w:bookmarkEnd w:id="21"/>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项目实施按事前、事中、事后方式公示公告。</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22" w:name="_Toc17483"/>
      <w:r>
        <w:rPr>
          <w:rFonts w:hint="eastAsia" w:ascii="仿宋" w:hAnsi="仿宋" w:eastAsia="仿宋" w:cs="仿宋"/>
          <w:b/>
          <w:bCs/>
          <w:spacing w:val="6"/>
          <w:sz w:val="32"/>
          <w:szCs w:val="32"/>
          <w:lang w:eastAsia="zh-CN"/>
        </w:rPr>
        <w:t>（三）建设管理方案</w:t>
      </w:r>
      <w:bookmarkEnd w:id="22"/>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val="0"/>
          <w:bCs w:val="0"/>
          <w:spacing w:val="6"/>
          <w:sz w:val="32"/>
          <w:szCs w:val="32"/>
        </w:rPr>
      </w:pPr>
      <w:bookmarkStart w:id="23" w:name="_Toc19512"/>
      <w:bookmarkStart w:id="24" w:name="_Toc29591"/>
      <w:r>
        <w:rPr>
          <w:rFonts w:hint="eastAsia" w:ascii="仿宋" w:hAnsi="仿宋" w:eastAsia="仿宋" w:cs="仿宋"/>
          <w:b w:val="0"/>
          <w:bCs w:val="0"/>
          <w:spacing w:val="6"/>
          <w:sz w:val="32"/>
          <w:szCs w:val="32"/>
          <w:lang w:val="en-US" w:eastAsia="zh-CN"/>
        </w:rPr>
        <w:t>1、</w:t>
      </w:r>
      <w:r>
        <w:rPr>
          <w:rFonts w:hint="eastAsia" w:ascii="仿宋" w:hAnsi="仿宋" w:eastAsia="仿宋" w:cs="仿宋"/>
          <w:b w:val="0"/>
          <w:bCs w:val="0"/>
          <w:spacing w:val="6"/>
          <w:sz w:val="32"/>
          <w:szCs w:val="32"/>
        </w:rPr>
        <w:t>项目管理、监督检查制度</w:t>
      </w:r>
      <w:bookmarkEnd w:id="23"/>
      <w:bookmarkEnd w:id="24"/>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为保质保量按时完成该项目，需实行目标管理责任制，明确领导小组各成员的职责，全面推行项目建设责任制、项目法人责任制，建立健全扶贫资产公开公示、定期巡查、绩效考核、结果反馈等检查机制，对项目经营运行、收益分配、后期管护等环节进行全程监督，保障扶贫资产安全有效。</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val="0"/>
          <w:bCs w:val="0"/>
          <w:spacing w:val="6"/>
          <w:sz w:val="32"/>
          <w:szCs w:val="32"/>
        </w:rPr>
      </w:pPr>
      <w:bookmarkStart w:id="25" w:name="_Toc30584"/>
      <w:bookmarkStart w:id="26" w:name="_Toc5120"/>
      <w:r>
        <w:rPr>
          <w:rFonts w:hint="eastAsia" w:ascii="仿宋" w:hAnsi="仿宋" w:eastAsia="仿宋" w:cs="仿宋"/>
          <w:b w:val="0"/>
          <w:bCs w:val="0"/>
          <w:spacing w:val="6"/>
          <w:sz w:val="32"/>
          <w:szCs w:val="32"/>
          <w:lang w:val="en-US" w:eastAsia="zh-CN"/>
        </w:rPr>
        <w:t>2、</w:t>
      </w:r>
      <w:r>
        <w:rPr>
          <w:rFonts w:hint="eastAsia" w:ascii="仿宋" w:hAnsi="仿宋" w:eastAsia="仿宋" w:cs="仿宋"/>
          <w:b w:val="0"/>
          <w:bCs w:val="0"/>
          <w:spacing w:val="6"/>
          <w:sz w:val="32"/>
          <w:szCs w:val="32"/>
        </w:rPr>
        <w:t>验收管理</w:t>
      </w:r>
      <w:bookmarkEnd w:id="25"/>
      <w:bookmarkEnd w:id="26"/>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根据相关文件要求，坚持项目竣工验收制度，遵照属地管理、“谁审批、谁验收”的原则。按照村、乡、县三个级别逐级开展验收工作。</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val="0"/>
          <w:bCs w:val="0"/>
          <w:spacing w:val="6"/>
          <w:sz w:val="32"/>
          <w:szCs w:val="32"/>
        </w:rPr>
      </w:pPr>
      <w:bookmarkStart w:id="27" w:name="_Toc10526"/>
      <w:bookmarkStart w:id="28" w:name="_Toc19850"/>
      <w:r>
        <w:rPr>
          <w:rFonts w:hint="eastAsia" w:ascii="仿宋" w:hAnsi="仿宋" w:eastAsia="仿宋" w:cs="仿宋"/>
          <w:b w:val="0"/>
          <w:bCs w:val="0"/>
          <w:spacing w:val="6"/>
          <w:sz w:val="32"/>
          <w:szCs w:val="32"/>
          <w:lang w:val="en-US" w:eastAsia="zh-CN"/>
        </w:rPr>
        <w:t>3、</w:t>
      </w:r>
      <w:r>
        <w:rPr>
          <w:rFonts w:hint="eastAsia" w:ascii="仿宋" w:hAnsi="仿宋" w:eastAsia="仿宋" w:cs="仿宋"/>
          <w:b w:val="0"/>
          <w:bCs w:val="0"/>
          <w:spacing w:val="6"/>
          <w:sz w:val="32"/>
          <w:szCs w:val="32"/>
        </w:rPr>
        <w:t>运营模式和运营管理</w:t>
      </w:r>
      <w:bookmarkEnd w:id="27"/>
      <w:bookmarkEnd w:id="28"/>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成后，资产由交通运输局管理，登记纳入国有资产管理平台。后续养护责任由麦盖提县农村公路建设养护所、交通运输局执法大队以及组织护路员落实养护工作，定期对道路进行巡查，及时发现问题并及时解决。护路员工资及相关养护费用由对上争取的专项资金落实。</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p>
    <w:p>
      <w:pPr>
        <w:pStyle w:val="24"/>
        <w:pageBreakBefore w:val="0"/>
        <w:numPr>
          <w:ilvl w:val="0"/>
          <w:numId w:val="2"/>
        </w:numPr>
        <w:kinsoku/>
        <w:wordWrap/>
        <w:overflowPunct/>
        <w:topLinePunct w:val="0"/>
        <w:bidi w:val="0"/>
        <w:snapToGrid w:val="0"/>
        <w:spacing w:line="570" w:lineRule="exact"/>
        <w:ind w:left="-420" w:leftChars="0" w:firstLineChars="0"/>
        <w:textAlignment w:val="baseline"/>
        <w:outlineLvl w:val="0"/>
        <w:rPr>
          <w:rFonts w:hint="eastAsia" w:ascii="仿宋" w:hAnsi="仿宋" w:eastAsia="仿宋" w:cs="仿宋"/>
          <w:b/>
          <w:bCs/>
          <w:spacing w:val="6"/>
          <w:sz w:val="36"/>
          <w:szCs w:val="36"/>
          <w:lang w:eastAsia="zh-CN"/>
        </w:rPr>
      </w:pPr>
      <w:bookmarkStart w:id="29" w:name="_Toc8071"/>
      <w:r>
        <w:rPr>
          <w:rFonts w:hint="eastAsia" w:ascii="仿宋" w:hAnsi="仿宋" w:eastAsia="仿宋" w:cs="仿宋"/>
          <w:b/>
          <w:bCs/>
          <w:spacing w:val="6"/>
          <w:sz w:val="36"/>
          <w:szCs w:val="36"/>
          <w:lang w:eastAsia="zh-CN"/>
        </w:rPr>
        <w:t>总投资及资金筹措</w:t>
      </w:r>
      <w:bookmarkEnd w:id="29"/>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0" w:name="_Toc239"/>
      <w:r>
        <w:rPr>
          <w:rFonts w:hint="eastAsia" w:ascii="仿宋" w:hAnsi="仿宋" w:eastAsia="仿宋" w:cs="仿宋"/>
          <w:b/>
          <w:bCs/>
          <w:spacing w:val="6"/>
          <w:sz w:val="32"/>
          <w:szCs w:val="32"/>
          <w:lang w:eastAsia="zh-CN"/>
        </w:rPr>
        <w:t>（一）工程概况</w:t>
      </w:r>
      <w:bookmarkEnd w:id="30"/>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spacing w:val="6"/>
          <w:sz w:val="32"/>
          <w:szCs w:val="32"/>
          <w:highlight w:val="none"/>
          <w:lang w:eastAsia="zh-CN"/>
        </w:rPr>
      </w:pPr>
      <w:r>
        <w:rPr>
          <w:rFonts w:hint="eastAsia" w:ascii="仿宋" w:hAnsi="仿宋" w:eastAsia="仿宋" w:cs="仿宋"/>
          <w:spacing w:val="6"/>
          <w:sz w:val="32"/>
          <w:szCs w:val="32"/>
        </w:rPr>
        <w:t>新建</w:t>
      </w:r>
      <w:r>
        <w:rPr>
          <w:rFonts w:hint="eastAsia" w:ascii="仿宋" w:hAnsi="仿宋" w:eastAsia="仿宋" w:cs="仿宋"/>
          <w:spacing w:val="6"/>
          <w:sz w:val="32"/>
          <w:szCs w:val="32"/>
          <w:lang w:val="en-US" w:eastAsia="zh-CN"/>
        </w:rPr>
        <w:t>6</w:t>
      </w:r>
      <w:r>
        <w:rPr>
          <w:rFonts w:hint="eastAsia" w:ascii="仿宋" w:hAnsi="仿宋" w:eastAsia="仿宋" w:cs="仿宋"/>
          <w:spacing w:val="6"/>
          <w:sz w:val="32"/>
          <w:szCs w:val="32"/>
        </w:rPr>
        <w:t>公里道路</w:t>
      </w:r>
      <w:r>
        <w:rPr>
          <w:rFonts w:hint="eastAsia" w:ascii="仿宋" w:hAnsi="仿宋" w:eastAsia="仿宋" w:cs="仿宋"/>
          <w:spacing w:val="6"/>
          <w:sz w:val="32"/>
          <w:szCs w:val="32"/>
          <w:lang w:eastAsia="zh-CN"/>
        </w:rPr>
        <w:t>（沥青路</w:t>
      </w:r>
      <w:r>
        <w:rPr>
          <w:rFonts w:hint="eastAsia" w:ascii="仿宋" w:hAnsi="仿宋" w:eastAsia="仿宋" w:cs="仿宋"/>
          <w:spacing w:val="6"/>
          <w:sz w:val="32"/>
          <w:szCs w:val="32"/>
          <w:lang w:val="en-US" w:eastAsia="zh-CN"/>
        </w:rPr>
        <w:t>5.24km、水泥路0.76km</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highlight w:val="none"/>
          <w:lang w:eastAsia="zh-CN"/>
        </w:rPr>
        <w:t>，投资</w:t>
      </w:r>
      <w:r>
        <w:rPr>
          <w:rFonts w:hint="eastAsia" w:ascii="仿宋" w:hAnsi="仿宋" w:eastAsia="仿宋" w:cs="仿宋"/>
          <w:spacing w:val="6"/>
          <w:sz w:val="32"/>
          <w:szCs w:val="32"/>
          <w:highlight w:val="none"/>
          <w:lang w:val="en-US" w:eastAsia="zh-CN"/>
        </w:rPr>
        <w:t>300</w:t>
      </w:r>
      <w:r>
        <w:rPr>
          <w:rFonts w:hint="eastAsia" w:ascii="仿宋" w:hAnsi="仿宋" w:eastAsia="仿宋" w:cs="仿宋"/>
          <w:spacing w:val="6"/>
          <w:sz w:val="32"/>
          <w:szCs w:val="32"/>
          <w:highlight w:val="none"/>
          <w:lang w:eastAsia="zh-CN"/>
        </w:rPr>
        <w:t>万元。公路等级为四级，主要建设内容：路基工程、路面工程、涵洞工程及交通安全设施工程，位于我县希依提墩乡、克孜勒阿瓦提乡境内。</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1" w:name="_Toc7436"/>
      <w:r>
        <w:rPr>
          <w:rFonts w:hint="eastAsia" w:ascii="仿宋" w:hAnsi="仿宋" w:eastAsia="仿宋" w:cs="仿宋"/>
          <w:b/>
          <w:bCs/>
          <w:spacing w:val="6"/>
          <w:sz w:val="32"/>
          <w:szCs w:val="32"/>
          <w:lang w:eastAsia="zh-CN"/>
        </w:rPr>
        <w:t>（二）编制依据及有关规定</w:t>
      </w:r>
      <w:bookmarkEnd w:id="31"/>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spacing w:val="6"/>
          <w:sz w:val="32"/>
          <w:szCs w:val="32"/>
          <w:highlight w:val="none"/>
          <w:lang w:eastAsia="zh-CN"/>
        </w:rPr>
      </w:pPr>
      <w:r>
        <w:rPr>
          <w:rFonts w:hint="eastAsia" w:ascii="仿宋" w:hAnsi="仿宋" w:eastAsia="仿宋" w:cs="仿宋"/>
          <w:spacing w:val="6"/>
          <w:sz w:val="32"/>
          <w:szCs w:val="32"/>
          <w:highlight w:val="none"/>
          <w:lang w:val="en-US" w:eastAsia="zh-CN"/>
        </w:rPr>
        <w:t>1）</w:t>
      </w:r>
      <w:r>
        <w:rPr>
          <w:rFonts w:hint="eastAsia" w:ascii="仿宋" w:hAnsi="仿宋" w:eastAsia="仿宋" w:cs="仿宋"/>
          <w:spacing w:val="6"/>
          <w:sz w:val="32"/>
          <w:szCs w:val="32"/>
          <w:highlight w:val="none"/>
          <w:lang w:eastAsia="zh-CN"/>
        </w:rPr>
        <w:t>《</w:t>
      </w:r>
      <w:r>
        <w:rPr>
          <w:rFonts w:hint="eastAsia" w:ascii="仿宋" w:hAnsi="仿宋" w:eastAsia="仿宋" w:cs="仿宋"/>
          <w:spacing w:val="6"/>
          <w:sz w:val="32"/>
          <w:szCs w:val="32"/>
          <w:highlight w:val="none"/>
          <w:lang w:eastAsia="zh-CN"/>
        </w:rPr>
        <w:fldChar w:fldCharType="begin"/>
      </w:r>
      <w:r>
        <w:rPr>
          <w:rFonts w:hint="eastAsia" w:ascii="仿宋" w:hAnsi="仿宋" w:eastAsia="仿宋" w:cs="仿宋"/>
          <w:spacing w:val="6"/>
          <w:sz w:val="32"/>
          <w:szCs w:val="32"/>
          <w:highlight w:val="none"/>
          <w:lang w:eastAsia="zh-CN"/>
        </w:rPr>
        <w:instrText xml:space="preserve"> HYPERLINK "http://search.people.com.cn/rmw/GB/rmwsearch/gj_search_lj.jsp?keyword=%B9%AB%C2%B7%B9%A4%B3%CC" \t "_blank" </w:instrText>
      </w:r>
      <w:r>
        <w:rPr>
          <w:rFonts w:hint="eastAsia" w:ascii="仿宋" w:hAnsi="仿宋" w:eastAsia="仿宋" w:cs="仿宋"/>
          <w:spacing w:val="6"/>
          <w:sz w:val="32"/>
          <w:szCs w:val="32"/>
          <w:highlight w:val="none"/>
          <w:lang w:eastAsia="zh-CN"/>
        </w:rPr>
        <w:fldChar w:fldCharType="separate"/>
      </w:r>
      <w:r>
        <w:rPr>
          <w:rFonts w:hint="eastAsia" w:ascii="仿宋" w:hAnsi="仿宋" w:eastAsia="仿宋" w:cs="仿宋"/>
          <w:spacing w:val="6"/>
          <w:sz w:val="32"/>
          <w:szCs w:val="32"/>
          <w:highlight w:val="none"/>
          <w:lang w:eastAsia="zh-CN"/>
        </w:rPr>
        <w:t>公路工程</w:t>
      </w:r>
      <w:r>
        <w:rPr>
          <w:rFonts w:hint="eastAsia" w:ascii="仿宋" w:hAnsi="仿宋" w:eastAsia="仿宋" w:cs="仿宋"/>
          <w:spacing w:val="6"/>
          <w:sz w:val="32"/>
          <w:szCs w:val="32"/>
          <w:highlight w:val="none"/>
          <w:lang w:eastAsia="zh-CN"/>
        </w:rPr>
        <w:fldChar w:fldCharType="end"/>
      </w:r>
      <w:r>
        <w:rPr>
          <w:rFonts w:hint="eastAsia" w:ascii="仿宋" w:hAnsi="仿宋" w:eastAsia="仿宋" w:cs="仿宋"/>
          <w:spacing w:val="6"/>
          <w:sz w:val="32"/>
          <w:szCs w:val="32"/>
          <w:highlight w:val="none"/>
          <w:lang w:eastAsia="zh-CN"/>
        </w:rPr>
        <w:t>基本建设项目投资估算编制办法》（JTGM20-2018）和《公路工程估算指标》（JTG/TM3821-2018）。</w:t>
      </w:r>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spacing w:val="6"/>
          <w:sz w:val="32"/>
          <w:szCs w:val="32"/>
          <w:highlight w:val="none"/>
          <w:lang w:eastAsia="zh-CN"/>
        </w:rPr>
      </w:pPr>
      <w:r>
        <w:rPr>
          <w:rFonts w:hint="eastAsia" w:ascii="仿宋" w:hAnsi="仿宋" w:eastAsia="仿宋" w:cs="仿宋"/>
          <w:spacing w:val="6"/>
          <w:sz w:val="32"/>
          <w:szCs w:val="32"/>
          <w:highlight w:val="none"/>
          <w:lang w:eastAsia="zh-CN"/>
        </w:rPr>
        <w:t>2）《公路工程基本建设项目概算预算编制办法》（JTG3830--2018）、《公路工程预算定额》（JTG/T-3822--2018）和《公路工程机械台班费用定额》（JTG/T-3833--2018）。</w:t>
      </w:r>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spacing w:val="6"/>
          <w:sz w:val="32"/>
          <w:szCs w:val="32"/>
          <w:highlight w:val="none"/>
          <w:lang w:eastAsia="zh-CN"/>
        </w:rPr>
      </w:pPr>
      <w:r>
        <w:rPr>
          <w:rFonts w:hint="eastAsia" w:ascii="仿宋" w:hAnsi="仿宋" w:eastAsia="仿宋" w:cs="仿宋"/>
          <w:spacing w:val="6"/>
          <w:sz w:val="32"/>
          <w:szCs w:val="32"/>
          <w:highlight w:val="none"/>
          <w:lang w:eastAsia="zh-CN"/>
        </w:rPr>
        <w:t>3）新疆维吾尔自治区交通厅新交造价〔2008〕2号发布的《新疆维吾尔自治区公路工程基本建设项目概算预算编制办法补充规定》和《新疆公路工程预算补充定额》的通知。</w:t>
      </w:r>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spacing w:val="6"/>
          <w:sz w:val="32"/>
          <w:szCs w:val="32"/>
          <w:highlight w:val="none"/>
          <w:lang w:eastAsia="zh-CN"/>
        </w:rPr>
      </w:pPr>
      <w:r>
        <w:rPr>
          <w:rFonts w:hint="eastAsia" w:ascii="仿宋" w:hAnsi="仿宋" w:eastAsia="仿宋" w:cs="仿宋"/>
          <w:spacing w:val="6"/>
          <w:sz w:val="32"/>
          <w:szCs w:val="32"/>
          <w:highlight w:val="none"/>
          <w:lang w:eastAsia="zh-CN"/>
        </w:rPr>
        <w:t>4）新疆公路工程定额站发布的“20</w:t>
      </w:r>
      <w:r>
        <w:rPr>
          <w:rFonts w:hint="eastAsia" w:ascii="仿宋" w:hAnsi="仿宋" w:eastAsia="仿宋" w:cs="仿宋"/>
          <w:spacing w:val="6"/>
          <w:sz w:val="32"/>
          <w:szCs w:val="32"/>
          <w:highlight w:val="none"/>
          <w:lang w:val="en-US" w:eastAsia="zh-CN"/>
        </w:rPr>
        <w:t>23</w:t>
      </w:r>
      <w:r>
        <w:rPr>
          <w:rFonts w:hint="eastAsia" w:ascii="仿宋" w:hAnsi="仿宋" w:eastAsia="仿宋" w:cs="仿宋"/>
          <w:spacing w:val="6"/>
          <w:sz w:val="32"/>
          <w:szCs w:val="32"/>
          <w:highlight w:val="none"/>
          <w:lang w:eastAsia="zh-CN"/>
        </w:rPr>
        <w:t>年第二季度乌鲁木齐地区材料供应价格表”及“十五地市20</w:t>
      </w:r>
      <w:r>
        <w:rPr>
          <w:rFonts w:hint="eastAsia" w:ascii="仿宋" w:hAnsi="仿宋" w:eastAsia="仿宋" w:cs="仿宋"/>
          <w:spacing w:val="6"/>
          <w:sz w:val="32"/>
          <w:szCs w:val="32"/>
          <w:highlight w:val="none"/>
          <w:lang w:val="en-US" w:eastAsia="zh-CN"/>
        </w:rPr>
        <w:t>23</w:t>
      </w:r>
      <w:r>
        <w:rPr>
          <w:rFonts w:hint="eastAsia" w:ascii="仿宋" w:hAnsi="仿宋" w:eastAsia="仿宋" w:cs="仿宋"/>
          <w:spacing w:val="6"/>
          <w:sz w:val="32"/>
          <w:szCs w:val="32"/>
          <w:highlight w:val="none"/>
          <w:lang w:eastAsia="zh-CN"/>
        </w:rPr>
        <w:t>年二季度主要材料价格信息表”。</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2" w:name="_Toc29801"/>
      <w:r>
        <w:rPr>
          <w:rFonts w:hint="eastAsia" w:ascii="仿宋" w:hAnsi="仿宋" w:eastAsia="仿宋" w:cs="仿宋"/>
          <w:b/>
          <w:bCs/>
          <w:spacing w:val="6"/>
          <w:sz w:val="32"/>
          <w:szCs w:val="32"/>
          <w:lang w:eastAsia="zh-CN"/>
        </w:rPr>
        <w:t>（三）工程估算</w:t>
      </w:r>
      <w:bookmarkEnd w:id="32"/>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highlight w:val="none"/>
          <w:lang w:eastAsia="zh-CN"/>
        </w:rPr>
      </w:pPr>
      <w:r>
        <w:rPr>
          <w:rFonts w:hint="eastAsia" w:ascii="仿宋" w:hAnsi="仿宋" w:eastAsia="仿宋" w:cs="仿宋"/>
          <w:spacing w:val="6"/>
          <w:sz w:val="32"/>
          <w:szCs w:val="32"/>
          <w:highlight w:val="none"/>
          <w:lang w:eastAsia="zh-CN"/>
        </w:rPr>
        <w:t>方案建设里程全长</w:t>
      </w:r>
      <w:r>
        <w:rPr>
          <w:rFonts w:hint="eastAsia" w:ascii="仿宋" w:hAnsi="仿宋" w:eastAsia="仿宋" w:cs="仿宋"/>
          <w:spacing w:val="6"/>
          <w:sz w:val="32"/>
          <w:szCs w:val="32"/>
          <w:highlight w:val="none"/>
          <w:lang w:val="en-US" w:eastAsia="zh-CN"/>
        </w:rPr>
        <w:t>6</w:t>
      </w:r>
      <w:r>
        <w:rPr>
          <w:rFonts w:hint="eastAsia" w:ascii="仿宋" w:hAnsi="仿宋" w:eastAsia="仿宋" w:cs="仿宋"/>
          <w:spacing w:val="6"/>
          <w:sz w:val="32"/>
          <w:szCs w:val="32"/>
          <w:highlight w:val="none"/>
          <w:lang w:eastAsia="zh-CN"/>
        </w:rPr>
        <w:t>千米，估算投资人民币</w:t>
      </w:r>
      <w:r>
        <w:rPr>
          <w:rFonts w:hint="eastAsia" w:ascii="仿宋" w:hAnsi="仿宋" w:eastAsia="仿宋" w:cs="仿宋"/>
          <w:spacing w:val="6"/>
          <w:sz w:val="32"/>
          <w:szCs w:val="32"/>
          <w:highlight w:val="none"/>
          <w:lang w:val="en-US" w:eastAsia="zh-CN"/>
        </w:rPr>
        <w:t>300</w:t>
      </w:r>
      <w:r>
        <w:rPr>
          <w:rFonts w:hint="eastAsia" w:ascii="仿宋" w:hAnsi="仿宋" w:eastAsia="仿宋" w:cs="仿宋"/>
          <w:spacing w:val="6"/>
          <w:sz w:val="32"/>
          <w:szCs w:val="32"/>
          <w:highlight w:val="none"/>
          <w:lang w:eastAsia="zh-CN"/>
        </w:rPr>
        <w:t>万元，平均每千米造价</w:t>
      </w:r>
      <w:r>
        <w:rPr>
          <w:rFonts w:hint="eastAsia" w:ascii="仿宋" w:hAnsi="仿宋" w:eastAsia="仿宋" w:cs="仿宋"/>
          <w:spacing w:val="6"/>
          <w:sz w:val="32"/>
          <w:szCs w:val="32"/>
          <w:highlight w:val="none"/>
          <w:lang w:val="en-US" w:eastAsia="zh-CN"/>
        </w:rPr>
        <w:t>50</w:t>
      </w:r>
      <w:r>
        <w:rPr>
          <w:rFonts w:hint="eastAsia" w:ascii="仿宋" w:hAnsi="仿宋" w:eastAsia="仿宋" w:cs="仿宋"/>
          <w:spacing w:val="6"/>
          <w:sz w:val="32"/>
          <w:szCs w:val="32"/>
          <w:highlight w:val="none"/>
          <w:lang w:eastAsia="zh-CN"/>
        </w:rPr>
        <w:t>万元。投资估算结果详见表</w:t>
      </w:r>
      <w:r>
        <w:rPr>
          <w:rFonts w:hint="eastAsia" w:ascii="仿宋" w:hAnsi="仿宋" w:eastAsia="仿宋" w:cs="仿宋"/>
          <w:spacing w:val="6"/>
          <w:sz w:val="32"/>
          <w:szCs w:val="32"/>
          <w:highlight w:val="none"/>
          <w:lang w:val="en-US" w:eastAsia="zh-CN"/>
        </w:rPr>
        <w:t>6-1</w:t>
      </w:r>
      <w:r>
        <w:rPr>
          <w:rFonts w:hint="eastAsia" w:ascii="仿宋" w:hAnsi="仿宋" w:eastAsia="仿宋" w:cs="仿宋"/>
          <w:spacing w:val="6"/>
          <w:sz w:val="32"/>
          <w:szCs w:val="32"/>
          <w:highlight w:val="none"/>
          <w:lang w:eastAsia="zh-CN"/>
        </w:rPr>
        <w:t>。</w:t>
      </w:r>
    </w:p>
    <w:p>
      <w:pPr>
        <w:spacing w:line="560" w:lineRule="exact"/>
        <w:jc w:val="center"/>
        <w:rPr>
          <w:rFonts w:hint="eastAsia" w:ascii="仿宋" w:hAnsi="仿宋" w:eastAsia="仿宋" w:cs="仿宋"/>
          <w:color w:val="auto"/>
          <w:sz w:val="20"/>
          <w:szCs w:val="28"/>
          <w:lang w:val="en-US" w:eastAsia="zh-CN"/>
        </w:rPr>
      </w:pPr>
      <w:r>
        <w:rPr>
          <w:rFonts w:hint="eastAsia" w:ascii="仿宋" w:hAnsi="仿宋" w:eastAsia="仿宋" w:cs="仿宋"/>
          <w:b/>
          <w:color w:val="auto"/>
          <w:sz w:val="28"/>
          <w:szCs w:val="28"/>
        </w:rPr>
        <w:t>方案投资估算结果表</w:t>
      </w:r>
      <w:r>
        <w:rPr>
          <w:rFonts w:hint="eastAsia" w:ascii="仿宋" w:hAnsi="仿宋" w:eastAsia="仿宋" w:cs="仿宋"/>
          <w:color w:val="auto"/>
          <w:sz w:val="20"/>
          <w:szCs w:val="28"/>
          <w:lang w:val="en-US" w:eastAsia="zh-CN"/>
        </w:rPr>
        <w:t>6-1</w:t>
      </w:r>
    </w:p>
    <w:p>
      <w:pPr>
        <w:spacing w:line="0" w:lineRule="atLeast"/>
        <w:jc w:val="center"/>
        <w:rPr>
          <w:rFonts w:hint="eastAsia" w:ascii="仿宋" w:hAnsi="仿宋" w:eastAsia="仿宋" w:cs="仿宋"/>
          <w:color w:val="auto"/>
          <w:sz w:val="22"/>
          <w:szCs w:val="28"/>
        </w:rPr>
      </w:pPr>
    </w:p>
    <w:tbl>
      <w:tblPr>
        <w:tblStyle w:val="13"/>
        <w:tblW w:w="9253" w:type="dxa"/>
        <w:tblInd w:w="3"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02"/>
        <w:gridCol w:w="1563"/>
        <w:gridCol w:w="1556"/>
        <w:gridCol w:w="1832"/>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4302" w:type="dxa"/>
            <w:noWrap w:val="0"/>
            <w:vAlign w:val="center"/>
          </w:tcPr>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方案名称</w:t>
            </w:r>
          </w:p>
        </w:tc>
        <w:tc>
          <w:tcPr>
            <w:tcW w:w="1563" w:type="dxa"/>
            <w:noWrap w:val="0"/>
            <w:vAlign w:val="center"/>
          </w:tcPr>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建设路线长度</w:t>
            </w:r>
          </w:p>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（千米）</w:t>
            </w:r>
          </w:p>
        </w:tc>
        <w:tc>
          <w:tcPr>
            <w:tcW w:w="1556" w:type="dxa"/>
            <w:noWrap w:val="0"/>
            <w:vAlign w:val="center"/>
          </w:tcPr>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估算总金额</w:t>
            </w:r>
          </w:p>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（万元）</w:t>
            </w:r>
          </w:p>
        </w:tc>
        <w:tc>
          <w:tcPr>
            <w:tcW w:w="1832" w:type="dxa"/>
            <w:noWrap w:val="0"/>
            <w:vAlign w:val="center"/>
          </w:tcPr>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平均每千米造价</w:t>
            </w:r>
          </w:p>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（万元）</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4302" w:type="dxa"/>
            <w:noWrap w:val="0"/>
            <w:vAlign w:val="center"/>
          </w:tcPr>
          <w:p>
            <w:pPr>
              <w:widowControl/>
              <w:jc w:val="center"/>
              <w:rPr>
                <w:rFonts w:hint="eastAsia" w:ascii="仿宋" w:hAnsi="仿宋" w:eastAsia="仿宋" w:cs="仿宋"/>
                <w:color w:val="auto"/>
                <w:sz w:val="22"/>
                <w:szCs w:val="22"/>
              </w:rPr>
            </w:pPr>
            <w:r>
              <w:rPr>
                <w:rFonts w:hint="eastAsia" w:ascii="仿宋" w:hAnsi="仿宋" w:eastAsia="仿宋" w:cs="仿宋"/>
                <w:color w:val="auto"/>
                <w:sz w:val="24"/>
                <w:szCs w:val="24"/>
                <w:lang w:val="en-US" w:eastAsia="zh-CN"/>
              </w:rPr>
              <w:t>麦盖提县希依提墩乡、克孜勒阿瓦提乡村辅道建设2024年中央财政以工代赈项目</w:t>
            </w:r>
          </w:p>
        </w:tc>
        <w:tc>
          <w:tcPr>
            <w:tcW w:w="1563" w:type="dxa"/>
            <w:noWrap w:val="0"/>
            <w:vAlign w:val="center"/>
          </w:tcPr>
          <w:p>
            <w:pPr>
              <w:spacing w:line="0" w:lineRule="atLeast"/>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6</w:t>
            </w:r>
          </w:p>
        </w:tc>
        <w:tc>
          <w:tcPr>
            <w:tcW w:w="1556" w:type="dxa"/>
            <w:noWrap w:val="0"/>
            <w:vAlign w:val="center"/>
          </w:tcPr>
          <w:p>
            <w:pPr>
              <w:spacing w:line="0" w:lineRule="atLeast"/>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300</w:t>
            </w:r>
          </w:p>
        </w:tc>
        <w:tc>
          <w:tcPr>
            <w:tcW w:w="1832" w:type="dxa"/>
            <w:noWrap w:val="0"/>
            <w:vAlign w:val="center"/>
          </w:tcPr>
          <w:p>
            <w:pPr>
              <w:spacing w:line="0" w:lineRule="atLeast"/>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50</w:t>
            </w:r>
          </w:p>
        </w:tc>
      </w:tr>
    </w:tbl>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3" w:name="_Toc25889"/>
      <w:r>
        <w:rPr>
          <w:rFonts w:hint="eastAsia" w:ascii="仿宋" w:hAnsi="仿宋" w:eastAsia="仿宋" w:cs="仿宋"/>
          <w:b/>
          <w:bCs/>
          <w:spacing w:val="6"/>
          <w:sz w:val="32"/>
          <w:szCs w:val="32"/>
          <w:lang w:eastAsia="zh-CN"/>
        </w:rPr>
        <w:t>（四）总投资及资金筹措方案</w:t>
      </w:r>
      <w:bookmarkEnd w:id="33"/>
    </w:p>
    <w:p>
      <w:pPr>
        <w:pageBreakBefore w:val="0"/>
        <w:widowControl/>
        <w:kinsoku/>
        <w:wordWrap/>
        <w:overflowPunct/>
        <w:topLinePunct w:val="0"/>
        <w:bidi w:val="0"/>
        <w:spacing w:line="570" w:lineRule="exact"/>
        <w:ind w:firstLine="664" w:firstLineChars="200"/>
        <w:jc w:val="left"/>
        <w:rPr>
          <w:rFonts w:hint="eastAsia" w:ascii="仿宋" w:hAnsi="仿宋" w:eastAsia="仿宋" w:cs="仿宋"/>
          <w:spacing w:val="6"/>
          <w:sz w:val="32"/>
          <w:szCs w:val="32"/>
        </w:rPr>
      </w:pPr>
      <w:r>
        <w:rPr>
          <w:rFonts w:hint="eastAsia" w:ascii="仿宋" w:hAnsi="仿宋" w:eastAsia="仿宋" w:cs="仿宋"/>
          <w:spacing w:val="6"/>
          <w:sz w:val="32"/>
          <w:szCs w:val="32"/>
        </w:rPr>
        <w:t>项目建设总投资</w:t>
      </w:r>
      <w:r>
        <w:rPr>
          <w:rFonts w:hint="eastAsia" w:ascii="仿宋" w:hAnsi="仿宋" w:eastAsia="仿宋" w:cs="仿宋"/>
          <w:spacing w:val="6"/>
          <w:sz w:val="32"/>
          <w:szCs w:val="32"/>
          <w:lang w:val="en-US" w:eastAsia="zh-CN"/>
        </w:rPr>
        <w:t>300</w:t>
      </w:r>
      <w:r>
        <w:rPr>
          <w:rFonts w:hint="eastAsia" w:ascii="仿宋" w:hAnsi="仿宋" w:eastAsia="仿宋" w:cs="仿宋"/>
          <w:spacing w:val="6"/>
          <w:sz w:val="32"/>
          <w:szCs w:val="32"/>
        </w:rPr>
        <w:t>万元，含劳务报酬发放共计</w:t>
      </w:r>
      <w:r>
        <w:rPr>
          <w:rFonts w:hint="eastAsia" w:ascii="仿宋" w:hAnsi="仿宋" w:eastAsia="仿宋" w:cs="仿宋"/>
          <w:spacing w:val="6"/>
          <w:sz w:val="32"/>
          <w:szCs w:val="32"/>
          <w:lang w:val="en-US" w:eastAsia="zh-CN"/>
        </w:rPr>
        <w:t>62</w:t>
      </w:r>
      <w:r>
        <w:rPr>
          <w:rFonts w:hint="eastAsia" w:ascii="仿宋" w:hAnsi="仿宋" w:eastAsia="仿宋" w:cs="仿宋"/>
          <w:spacing w:val="6"/>
          <w:sz w:val="32"/>
          <w:szCs w:val="32"/>
        </w:rPr>
        <w:t>万元，占</w:t>
      </w:r>
      <w:r>
        <w:rPr>
          <w:rFonts w:hint="eastAsia" w:ascii="仿宋" w:hAnsi="仿宋" w:eastAsia="仿宋" w:cs="仿宋"/>
          <w:spacing w:val="6"/>
          <w:sz w:val="32"/>
          <w:szCs w:val="32"/>
          <w:lang w:eastAsia="zh-CN"/>
        </w:rPr>
        <w:t>中央预算内资金</w:t>
      </w:r>
      <w:r>
        <w:rPr>
          <w:rFonts w:hint="eastAsia" w:ascii="仿宋" w:hAnsi="仿宋" w:eastAsia="仿宋" w:cs="仿宋"/>
          <w:spacing w:val="6"/>
          <w:sz w:val="32"/>
          <w:szCs w:val="32"/>
        </w:rPr>
        <w:t>的</w:t>
      </w:r>
      <w:r>
        <w:rPr>
          <w:rFonts w:hint="eastAsia" w:ascii="仿宋" w:hAnsi="仿宋" w:eastAsia="仿宋" w:cs="仿宋"/>
          <w:spacing w:val="6"/>
          <w:sz w:val="32"/>
          <w:szCs w:val="32"/>
          <w:lang w:val="en-US" w:eastAsia="zh-CN"/>
        </w:rPr>
        <w:t>20.67</w:t>
      </w:r>
      <w:r>
        <w:rPr>
          <w:rFonts w:hint="eastAsia" w:ascii="仿宋" w:hAnsi="仿宋" w:eastAsia="仿宋" w:cs="仿宋"/>
          <w:spacing w:val="6"/>
          <w:sz w:val="32"/>
          <w:szCs w:val="32"/>
        </w:rPr>
        <w:t>%。</w:t>
      </w:r>
    </w:p>
    <w:p>
      <w:pPr>
        <w:pageBreakBefore w:val="0"/>
        <w:widowControl/>
        <w:kinsoku/>
        <w:wordWrap/>
        <w:overflowPunct/>
        <w:topLinePunct w:val="0"/>
        <w:bidi w:val="0"/>
        <w:spacing w:line="570" w:lineRule="exact"/>
        <w:ind w:firstLine="664" w:firstLineChars="200"/>
        <w:jc w:val="left"/>
        <w:rPr>
          <w:rFonts w:hint="eastAsia" w:ascii="仿宋" w:hAnsi="仿宋" w:eastAsia="仿宋" w:cs="仿宋"/>
          <w:spacing w:val="6"/>
          <w:sz w:val="32"/>
          <w:szCs w:val="32"/>
        </w:rPr>
      </w:pPr>
      <w:r>
        <w:rPr>
          <w:rFonts w:hint="eastAsia" w:ascii="仿宋" w:hAnsi="仿宋" w:eastAsia="仿宋" w:cs="仿宋"/>
          <w:spacing w:val="6"/>
          <w:sz w:val="32"/>
          <w:szCs w:val="32"/>
        </w:rPr>
        <w:t>建设总投资</w:t>
      </w:r>
      <w:r>
        <w:rPr>
          <w:rFonts w:hint="eastAsia" w:ascii="仿宋" w:hAnsi="仿宋" w:eastAsia="仿宋" w:cs="仿宋"/>
          <w:spacing w:val="6"/>
          <w:sz w:val="32"/>
          <w:szCs w:val="32"/>
          <w:lang w:val="en-US" w:eastAsia="zh-CN"/>
        </w:rPr>
        <w:t>300</w:t>
      </w:r>
      <w:r>
        <w:rPr>
          <w:rFonts w:hint="eastAsia" w:ascii="仿宋" w:hAnsi="仿宋" w:eastAsia="仿宋" w:cs="仿宋"/>
          <w:spacing w:val="6"/>
          <w:sz w:val="32"/>
          <w:szCs w:val="32"/>
        </w:rPr>
        <w:t>万元，申请</w:t>
      </w:r>
      <w:r>
        <w:rPr>
          <w:rFonts w:hint="eastAsia" w:ascii="仿宋" w:hAnsi="仿宋" w:eastAsia="仿宋" w:cs="仿宋"/>
          <w:spacing w:val="6"/>
          <w:sz w:val="32"/>
          <w:szCs w:val="32"/>
          <w:lang w:eastAsia="zh-CN"/>
        </w:rPr>
        <w:t>中央预算内资金</w:t>
      </w:r>
      <w:r>
        <w:rPr>
          <w:rFonts w:hint="eastAsia" w:ascii="仿宋" w:hAnsi="仿宋" w:eastAsia="仿宋" w:cs="仿宋"/>
          <w:spacing w:val="6"/>
          <w:sz w:val="32"/>
          <w:szCs w:val="32"/>
          <w:lang w:val="en-US" w:eastAsia="zh-CN"/>
        </w:rPr>
        <w:t>300</w:t>
      </w:r>
      <w:r>
        <w:rPr>
          <w:rFonts w:hint="eastAsia" w:ascii="仿宋" w:hAnsi="仿宋" w:eastAsia="仿宋" w:cs="仿宋"/>
          <w:spacing w:val="6"/>
          <w:sz w:val="32"/>
          <w:szCs w:val="32"/>
        </w:rPr>
        <w:t>万元。</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4" w:name="_Toc189"/>
      <w:r>
        <w:rPr>
          <w:rFonts w:hint="eastAsia" w:ascii="仿宋" w:hAnsi="仿宋" w:eastAsia="仿宋" w:cs="仿宋"/>
          <w:b/>
          <w:bCs/>
          <w:spacing w:val="6"/>
          <w:sz w:val="32"/>
          <w:szCs w:val="32"/>
          <w:lang w:eastAsia="zh-CN"/>
        </w:rPr>
        <w:t>（五）资金使用计划</w:t>
      </w:r>
      <w:bookmarkEnd w:id="34"/>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乡村振兴战略是新时代做好“三农”工作的总抓手。2018年两会期间，中共中央总书记、国家主席、中央军委主席习近平提出要推动乡村产业振兴、人才振兴、文化振兴、生态振兴和组织振兴。9月26日发布的《乡村振兴战略规划（2018－2022年）》也明确，要科学有序推动乡村产业、人才、文化、生态和组织振兴。项目实施单位依据项目计划和实施进度</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提出支付申请并提供相关真实、合规的证明材料，制定资金使用计划，经审核后按照国库集中支付管理制度的规定和程序及时支付资金。从国库直接支付到扶贫项目承担的企业、商户或建档立卡</w:t>
      </w:r>
      <w:r>
        <w:rPr>
          <w:rFonts w:hint="eastAsia" w:ascii="仿宋" w:hAnsi="仿宋" w:eastAsia="仿宋" w:cs="仿宋"/>
          <w:spacing w:val="6"/>
          <w:sz w:val="32"/>
          <w:szCs w:val="32"/>
          <w:lang w:eastAsia="zh-CN"/>
        </w:rPr>
        <w:t>低收入</w:t>
      </w:r>
      <w:r>
        <w:rPr>
          <w:rFonts w:hint="eastAsia" w:ascii="仿宋" w:hAnsi="仿宋" w:eastAsia="仿宋" w:cs="仿宋"/>
          <w:spacing w:val="6"/>
          <w:sz w:val="32"/>
          <w:szCs w:val="32"/>
        </w:rPr>
        <w:t>户个人。严格执行专款专用，杜绝挤占、挪用项目资金，严禁虚列支出、以拨代支虚增项目进度。项目资金支付后</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在审计或检查中发现资金使用存在违法违规问题的，应及时追回、收回。对资金使用严格监管，防止资金使用不精准、虚报冒领。为加快资金支出进度，扶贫项目可实行预付款制，预付资金总额合计原则上不超过应付该项目资金总额的50%，其中：基础建设类项目预付资金原则上不超过合同金额的30%。</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5" w:name="_Toc11791"/>
      <w:r>
        <w:rPr>
          <w:rFonts w:hint="eastAsia" w:ascii="仿宋" w:hAnsi="仿宋" w:eastAsia="仿宋" w:cs="仿宋"/>
          <w:b/>
          <w:bCs/>
          <w:spacing w:val="6"/>
          <w:sz w:val="32"/>
          <w:szCs w:val="32"/>
          <w:lang w:eastAsia="zh-CN"/>
        </w:rPr>
        <w:t>（六）项目工程预算表</w:t>
      </w:r>
      <w:bookmarkEnd w:id="35"/>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highlight w:val="none"/>
          <w:lang w:val="en-US" w:eastAsia="zh-CN"/>
        </w:rPr>
      </w:pPr>
      <w:r>
        <w:rPr>
          <w:rFonts w:hint="eastAsia" w:ascii="仿宋" w:hAnsi="仿宋" w:eastAsia="仿宋" w:cs="仿宋"/>
          <w:spacing w:val="6"/>
          <w:sz w:val="32"/>
          <w:szCs w:val="32"/>
          <w:highlight w:val="none"/>
          <w:lang w:eastAsia="zh-CN"/>
        </w:rPr>
        <w:t>见附件</w:t>
      </w:r>
      <w:r>
        <w:rPr>
          <w:rFonts w:hint="eastAsia" w:ascii="仿宋" w:hAnsi="仿宋" w:eastAsia="仿宋" w:cs="仿宋"/>
          <w:spacing w:val="6"/>
          <w:sz w:val="32"/>
          <w:szCs w:val="32"/>
          <w:highlight w:val="none"/>
          <w:lang w:val="en-US" w:eastAsia="zh-CN"/>
        </w:rPr>
        <w:t>1</w:t>
      </w:r>
    </w:p>
    <w:p>
      <w:pPr>
        <w:pStyle w:val="24"/>
        <w:pageBreakBefore w:val="0"/>
        <w:kinsoku/>
        <w:wordWrap/>
        <w:overflowPunct/>
        <w:topLinePunct w:val="0"/>
        <w:bidi w:val="0"/>
        <w:snapToGrid w:val="0"/>
        <w:spacing w:line="570" w:lineRule="exact"/>
        <w:ind w:firstLine="664"/>
        <w:textAlignment w:val="baseline"/>
        <w:rPr>
          <w:rFonts w:hint="default" w:ascii="仿宋" w:hAnsi="仿宋" w:eastAsia="仿宋" w:cs="仿宋"/>
          <w:spacing w:val="6"/>
          <w:sz w:val="32"/>
          <w:szCs w:val="32"/>
          <w:highlight w:val="none"/>
          <w:lang w:val="en-US" w:eastAsia="zh-CN"/>
        </w:rPr>
      </w:pPr>
    </w:p>
    <w:p>
      <w:pPr>
        <w:pStyle w:val="24"/>
        <w:pageBreakBefore w:val="0"/>
        <w:numPr>
          <w:ilvl w:val="0"/>
          <w:numId w:val="2"/>
        </w:numPr>
        <w:kinsoku/>
        <w:wordWrap/>
        <w:overflowPunct/>
        <w:topLinePunct w:val="0"/>
        <w:bidi w:val="0"/>
        <w:snapToGrid w:val="0"/>
        <w:spacing w:line="570" w:lineRule="exact"/>
        <w:ind w:left="-420" w:leftChars="0" w:firstLineChars="0"/>
        <w:textAlignment w:val="baseline"/>
        <w:outlineLvl w:val="0"/>
        <w:rPr>
          <w:rFonts w:hint="eastAsia" w:ascii="仿宋" w:hAnsi="仿宋" w:eastAsia="仿宋" w:cs="仿宋"/>
          <w:b/>
          <w:bCs/>
          <w:spacing w:val="6"/>
          <w:sz w:val="36"/>
          <w:szCs w:val="36"/>
          <w:lang w:eastAsia="zh-CN"/>
        </w:rPr>
      </w:pPr>
      <w:bookmarkStart w:id="36" w:name="_Toc2392"/>
      <w:r>
        <w:rPr>
          <w:rFonts w:hint="eastAsia" w:ascii="仿宋" w:hAnsi="仿宋" w:eastAsia="仿宋" w:cs="仿宋"/>
          <w:b/>
          <w:bCs/>
          <w:spacing w:val="6"/>
          <w:sz w:val="36"/>
          <w:szCs w:val="36"/>
          <w:lang w:eastAsia="zh-CN"/>
        </w:rPr>
        <w:t>项目用工需求和劳务报酬测算</w:t>
      </w:r>
      <w:bookmarkEnd w:id="36"/>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项目建设过程中，能用人工的尽量不用机械，能用当地群众的不用专业队伍，拟用工种为机械工、</w:t>
      </w:r>
      <w:r>
        <w:rPr>
          <w:rFonts w:hint="eastAsia" w:ascii="仿宋" w:hAnsi="仿宋" w:eastAsia="仿宋" w:cs="仿宋"/>
          <w:spacing w:val="6"/>
          <w:sz w:val="32"/>
          <w:szCs w:val="32"/>
          <w:lang w:eastAsia="zh-CN"/>
        </w:rPr>
        <w:t>杂工</w:t>
      </w:r>
      <w:r>
        <w:rPr>
          <w:rFonts w:hint="eastAsia" w:ascii="仿宋" w:hAnsi="仿宋" w:eastAsia="仿宋" w:cs="仿宋"/>
          <w:spacing w:val="6"/>
          <w:sz w:val="32"/>
          <w:szCs w:val="32"/>
        </w:rPr>
        <w:t>等，预计带动务工群众</w:t>
      </w:r>
      <w:r>
        <w:rPr>
          <w:rFonts w:hint="eastAsia" w:ascii="仿宋" w:hAnsi="仿宋" w:eastAsia="仿宋" w:cs="仿宋"/>
          <w:spacing w:val="6"/>
          <w:sz w:val="32"/>
          <w:szCs w:val="32"/>
          <w:lang w:val="en-US" w:eastAsia="zh-CN"/>
        </w:rPr>
        <w:t>53</w:t>
      </w:r>
      <w:r>
        <w:rPr>
          <w:rFonts w:hint="eastAsia" w:ascii="仿宋" w:hAnsi="仿宋" w:eastAsia="仿宋" w:cs="仿宋"/>
          <w:spacing w:val="6"/>
          <w:sz w:val="32"/>
          <w:szCs w:val="32"/>
        </w:rPr>
        <w:t>人，（其中：</w:t>
      </w:r>
      <w:r>
        <w:rPr>
          <w:rFonts w:hint="eastAsia" w:ascii="仿宋" w:hAnsi="仿宋" w:eastAsia="仿宋" w:cs="仿宋"/>
          <w:color w:val="auto"/>
          <w:spacing w:val="6"/>
          <w:sz w:val="32"/>
          <w:szCs w:val="32"/>
        </w:rPr>
        <w:t>易地搬迁群众</w:t>
      </w:r>
      <w:r>
        <w:rPr>
          <w:rFonts w:hint="eastAsia" w:ascii="仿宋" w:hAnsi="仿宋" w:eastAsia="仿宋" w:cs="仿宋"/>
          <w:color w:val="auto"/>
          <w:spacing w:val="6"/>
          <w:sz w:val="32"/>
          <w:szCs w:val="32"/>
          <w:lang w:val="en-US" w:eastAsia="zh-CN"/>
        </w:rPr>
        <w:t>7</w:t>
      </w:r>
      <w:r>
        <w:rPr>
          <w:rFonts w:hint="eastAsia" w:ascii="仿宋" w:hAnsi="仿宋" w:eastAsia="仿宋" w:cs="仿宋"/>
          <w:color w:val="auto"/>
          <w:spacing w:val="6"/>
          <w:sz w:val="32"/>
          <w:szCs w:val="32"/>
        </w:rPr>
        <w:t>人），</w:t>
      </w:r>
      <w:r>
        <w:rPr>
          <w:rFonts w:hint="eastAsia" w:ascii="仿宋" w:hAnsi="仿宋" w:eastAsia="仿宋" w:cs="仿宋"/>
          <w:spacing w:val="6"/>
          <w:sz w:val="32"/>
          <w:szCs w:val="32"/>
        </w:rPr>
        <w:t>预计需要用工</w:t>
      </w:r>
      <w:r>
        <w:rPr>
          <w:rFonts w:hint="eastAsia" w:ascii="仿宋" w:hAnsi="仿宋" w:eastAsia="仿宋" w:cs="仿宋"/>
          <w:spacing w:val="6"/>
          <w:sz w:val="32"/>
          <w:szCs w:val="32"/>
          <w:lang w:val="en-US" w:eastAsia="zh-CN"/>
        </w:rPr>
        <w:t>4770</w:t>
      </w:r>
      <w:r>
        <w:rPr>
          <w:rFonts w:hint="eastAsia" w:ascii="仿宋" w:hAnsi="仿宋" w:eastAsia="仿宋" w:cs="仿宋"/>
          <w:spacing w:val="6"/>
          <w:sz w:val="32"/>
          <w:szCs w:val="32"/>
        </w:rPr>
        <w:t>工日，人均工资1</w:t>
      </w:r>
      <w:r>
        <w:rPr>
          <w:rFonts w:hint="eastAsia" w:ascii="仿宋" w:hAnsi="仿宋" w:eastAsia="仿宋" w:cs="仿宋"/>
          <w:spacing w:val="6"/>
          <w:sz w:val="32"/>
          <w:szCs w:val="32"/>
          <w:lang w:val="en-US" w:eastAsia="zh-CN"/>
        </w:rPr>
        <w:t>3</w:t>
      </w:r>
      <w:r>
        <w:rPr>
          <w:rFonts w:hint="eastAsia" w:ascii="仿宋" w:hAnsi="仿宋" w:eastAsia="仿宋" w:cs="仿宋"/>
          <w:spacing w:val="6"/>
          <w:sz w:val="32"/>
          <w:szCs w:val="32"/>
        </w:rPr>
        <w:t>0元/天，发放劳务报酬</w:t>
      </w:r>
      <w:r>
        <w:rPr>
          <w:rFonts w:hint="eastAsia" w:ascii="仿宋" w:hAnsi="仿宋" w:eastAsia="仿宋" w:cs="仿宋"/>
          <w:spacing w:val="6"/>
          <w:sz w:val="32"/>
          <w:szCs w:val="32"/>
          <w:lang w:val="en-US" w:eastAsia="zh-CN"/>
        </w:rPr>
        <w:t>62</w:t>
      </w:r>
      <w:r>
        <w:rPr>
          <w:rFonts w:hint="eastAsia" w:ascii="仿宋" w:hAnsi="仿宋" w:eastAsia="仿宋" w:cs="仿宋"/>
          <w:spacing w:val="6"/>
          <w:sz w:val="32"/>
          <w:szCs w:val="32"/>
        </w:rPr>
        <w:t>万元，直接提高农民工资性收入。</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1168" w:firstLineChars="400"/>
        <w:textAlignment w:val="baseline"/>
        <w:outlineLvl w:val="9"/>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表一：工程项目实施农村劳动力劳务总额</w:t>
      </w:r>
      <w:r>
        <w:rPr>
          <w:rFonts w:hint="eastAsia" w:ascii="仿宋" w:hAnsi="仿宋" w:eastAsia="仿宋" w:cs="仿宋"/>
          <w:b w:val="0"/>
          <w:bCs w:val="0"/>
          <w:spacing w:val="6"/>
          <w:sz w:val="28"/>
          <w:szCs w:val="28"/>
          <w:lang w:eastAsia="zh-CN"/>
        </w:rPr>
        <w:t>测算</w:t>
      </w:r>
      <w:r>
        <w:rPr>
          <w:rFonts w:hint="eastAsia" w:ascii="仿宋" w:hAnsi="仿宋" w:eastAsia="仿宋" w:cs="仿宋"/>
          <w:b w:val="0"/>
          <w:bCs w:val="0"/>
          <w:spacing w:val="6"/>
          <w:sz w:val="28"/>
          <w:szCs w:val="28"/>
        </w:rPr>
        <w:t>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583"/>
        <w:gridCol w:w="1294"/>
        <w:gridCol w:w="1294"/>
        <w:gridCol w:w="1294"/>
        <w:gridCol w:w="129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5" w:type="dxa"/>
            <w:vMerge w:val="restart"/>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序号</w:t>
            </w:r>
          </w:p>
        </w:tc>
        <w:tc>
          <w:tcPr>
            <w:tcW w:w="1583" w:type="dxa"/>
            <w:vMerge w:val="restart"/>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项目或费用名称</w:t>
            </w:r>
          </w:p>
        </w:tc>
        <w:tc>
          <w:tcPr>
            <w:tcW w:w="6472" w:type="dxa"/>
            <w:gridSpan w:val="5"/>
            <w:vAlign w:val="center"/>
          </w:tcPr>
          <w:p>
            <w:pPr>
              <w:pStyle w:val="24"/>
              <w:pageBreakBefore w:val="0"/>
              <w:tabs>
                <w:tab w:val="left" w:pos="1692"/>
              </w:tabs>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用工情况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1005" w:type="dxa"/>
            <w:vMerge w:val="continue"/>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p>
        </w:tc>
        <w:tc>
          <w:tcPr>
            <w:tcW w:w="1583" w:type="dxa"/>
            <w:vMerge w:val="continue"/>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吸纳务工（工日）</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用人数量（人）</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其中：易地搬迁人口用工（人）</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劳务报酬（万元）</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其中：易地搬迁人口劳务报酬（万元）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1</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道路建设</w:t>
            </w:r>
          </w:p>
        </w:tc>
        <w:tc>
          <w:tcPr>
            <w:tcW w:w="1294"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rPr>
            </w:pPr>
            <w:r>
              <w:rPr>
                <w:rFonts w:hint="eastAsia" w:ascii="仿宋" w:hAnsi="仿宋" w:eastAsia="仿宋" w:cs="仿宋"/>
                <w:i w:val="0"/>
                <w:iCs w:val="0"/>
                <w:color w:val="000000"/>
                <w:kern w:val="0"/>
                <w:sz w:val="24"/>
                <w:szCs w:val="24"/>
                <w:u w:val="none"/>
                <w:lang w:val="en-US" w:eastAsia="zh-CN" w:bidi="ar"/>
              </w:rPr>
              <w:t>4770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53 </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7</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62 </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1.1</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24"/>
                <w:szCs w:val="24"/>
                <w:lang w:eastAsia="zh-CN"/>
              </w:rPr>
            </w:pPr>
            <w:r>
              <w:rPr>
                <w:rFonts w:hint="eastAsia" w:ascii="仿宋" w:hAnsi="仿宋" w:eastAsia="仿宋" w:cs="仿宋"/>
                <w:i w:val="0"/>
                <w:iCs w:val="0"/>
                <w:color w:val="000000"/>
                <w:kern w:val="0"/>
                <w:sz w:val="24"/>
                <w:szCs w:val="24"/>
                <w:u w:val="none"/>
                <w:lang w:val="en-US" w:eastAsia="zh-CN" w:bidi="ar"/>
              </w:rPr>
              <w:t>路基工程</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2610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29 </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3</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24"/>
                <w:szCs w:val="24"/>
                <w:lang w:eastAsia="zh-CN"/>
              </w:rPr>
            </w:pPr>
            <w:r>
              <w:rPr>
                <w:rFonts w:hint="eastAsia" w:ascii="仿宋" w:hAnsi="仿宋" w:eastAsia="仿宋" w:cs="仿宋"/>
                <w:i w:val="0"/>
                <w:iCs w:val="0"/>
                <w:color w:val="000000"/>
                <w:kern w:val="0"/>
                <w:sz w:val="24"/>
                <w:szCs w:val="24"/>
                <w:u w:val="none"/>
                <w:lang w:val="en-US" w:eastAsia="zh-CN" w:bidi="ar"/>
              </w:rPr>
              <w:t xml:space="preserve">34 </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24"/>
                <w:szCs w:val="24"/>
                <w:lang w:eastAsia="zh-CN"/>
              </w:rPr>
            </w:pPr>
            <w:r>
              <w:rPr>
                <w:rFonts w:hint="eastAsia" w:ascii="仿宋" w:hAnsi="仿宋" w:eastAsia="仿宋" w:cs="仿宋"/>
                <w:i w:val="0"/>
                <w:iCs w:val="0"/>
                <w:color w:val="000000"/>
                <w:kern w:val="0"/>
                <w:sz w:val="24"/>
                <w:szCs w:val="24"/>
                <w:u w:val="none"/>
                <w:lang w:val="en-US" w:eastAsia="zh-CN" w:bidi="ar"/>
              </w:rPr>
              <w:t>1.2</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24"/>
                <w:szCs w:val="24"/>
                <w:lang w:eastAsia="zh-CN"/>
              </w:rPr>
            </w:pPr>
            <w:r>
              <w:rPr>
                <w:rFonts w:hint="eastAsia" w:ascii="仿宋" w:hAnsi="仿宋" w:eastAsia="仿宋" w:cs="仿宋"/>
                <w:i w:val="0"/>
                <w:iCs w:val="0"/>
                <w:color w:val="000000"/>
                <w:kern w:val="0"/>
                <w:sz w:val="24"/>
                <w:szCs w:val="24"/>
                <w:u w:val="none"/>
                <w:lang w:val="en-US" w:eastAsia="zh-CN" w:bidi="ar"/>
              </w:rPr>
              <w:t>路面工程</w:t>
            </w:r>
          </w:p>
        </w:tc>
        <w:tc>
          <w:tcPr>
            <w:tcW w:w="1294"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2070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23 </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3</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27 </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24"/>
                <w:szCs w:val="24"/>
                <w:lang w:eastAsia="zh-CN"/>
              </w:rPr>
            </w:pPr>
            <w:r>
              <w:rPr>
                <w:rFonts w:hint="eastAsia" w:ascii="仿宋" w:hAnsi="仿宋" w:eastAsia="仿宋" w:cs="仿宋"/>
                <w:i w:val="0"/>
                <w:iCs w:val="0"/>
                <w:color w:val="000000"/>
                <w:kern w:val="0"/>
                <w:sz w:val="24"/>
                <w:szCs w:val="24"/>
                <w:u w:val="none"/>
                <w:lang w:val="en-US" w:eastAsia="zh-CN" w:bidi="ar"/>
              </w:rPr>
              <w:t>1.3</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附属设施</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90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1 </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1</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1 </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5" w:type="dxa"/>
            <w:vAlign w:val="center"/>
          </w:tcPr>
          <w:p>
            <w:pPr>
              <w:jc w:val="center"/>
              <w:rPr>
                <w:rFonts w:hint="eastAsia" w:ascii="仿宋" w:hAnsi="仿宋" w:eastAsia="仿宋" w:cs="仿宋"/>
                <w:spacing w:val="6"/>
                <w:sz w:val="24"/>
                <w:szCs w:val="24"/>
              </w:rPr>
            </w:pP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合计</w:t>
            </w:r>
          </w:p>
        </w:tc>
        <w:tc>
          <w:tcPr>
            <w:tcW w:w="1294"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4770 </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53 </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7 </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62 </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9 </w:t>
            </w:r>
          </w:p>
        </w:tc>
      </w:tr>
    </w:tbl>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p>
    <w:p>
      <w:pPr>
        <w:pStyle w:val="24"/>
        <w:keepNext w:val="0"/>
        <w:keepLines w:val="0"/>
        <w:pageBreakBefore w:val="0"/>
        <w:widowControl w:val="0"/>
        <w:kinsoku/>
        <w:wordWrap/>
        <w:overflowPunct/>
        <w:topLinePunct w:val="0"/>
        <w:autoSpaceDE/>
        <w:autoSpaceDN/>
        <w:bidi w:val="0"/>
        <w:adjustRightInd/>
        <w:snapToGrid w:val="0"/>
        <w:spacing w:line="570" w:lineRule="exact"/>
        <w:ind w:firstLine="1168" w:firstLineChars="400"/>
        <w:textAlignment w:val="baseline"/>
        <w:outlineLvl w:val="9"/>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表二：工程项目实施农村劳动力劳务总额</w:t>
      </w:r>
      <w:r>
        <w:rPr>
          <w:rFonts w:hint="eastAsia" w:ascii="仿宋" w:hAnsi="仿宋" w:eastAsia="仿宋" w:cs="仿宋"/>
          <w:b w:val="0"/>
          <w:bCs w:val="0"/>
          <w:spacing w:val="6"/>
          <w:sz w:val="28"/>
          <w:szCs w:val="28"/>
          <w:lang w:eastAsia="zh-CN"/>
        </w:rPr>
        <w:t>测算</w:t>
      </w:r>
      <w:r>
        <w:rPr>
          <w:rFonts w:hint="eastAsia" w:ascii="仿宋" w:hAnsi="仿宋" w:eastAsia="仿宋" w:cs="仿宋"/>
          <w:b w:val="0"/>
          <w:bCs w:val="0"/>
          <w:spacing w:val="6"/>
          <w:sz w:val="28"/>
          <w:szCs w:val="28"/>
        </w:rPr>
        <w:t>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583"/>
        <w:gridCol w:w="1294"/>
        <w:gridCol w:w="1294"/>
        <w:gridCol w:w="1294"/>
        <w:gridCol w:w="129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100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序号</w:t>
            </w:r>
          </w:p>
        </w:tc>
        <w:tc>
          <w:tcPr>
            <w:tcW w:w="1583"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工种</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24"/>
                <w:szCs w:val="24"/>
              </w:rPr>
              <w:t>发放标准（元/日）</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计划用工人数</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2"/>
              </w:rPr>
              <w:t>计划工时（工日）</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发放金额（万元）</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水泥工</w:t>
            </w:r>
          </w:p>
        </w:tc>
        <w:tc>
          <w:tcPr>
            <w:tcW w:w="1294" w:type="dxa"/>
            <w:vAlign w:val="center"/>
          </w:tcPr>
          <w:p>
            <w:pPr>
              <w:keepNext w:val="0"/>
              <w:keepLines w:val="0"/>
              <w:widowControl/>
              <w:suppressLineNumbers w:val="0"/>
              <w:jc w:val="center"/>
              <w:textAlignment w:val="center"/>
              <w:rPr>
                <w:rFonts w:hint="default" w:ascii="仿宋" w:hAnsi="仿宋" w:eastAsia="仿宋" w:cs="仿宋"/>
                <w:spacing w:val="6"/>
                <w:sz w:val="32"/>
                <w:szCs w:val="32"/>
                <w:lang w:val="en-US"/>
              </w:rPr>
            </w:pPr>
            <w:r>
              <w:rPr>
                <w:rFonts w:hint="eastAsia" w:ascii="仿宋" w:hAnsi="仿宋" w:eastAsia="仿宋" w:cs="仿宋"/>
                <w:i w:val="0"/>
                <w:iCs w:val="0"/>
                <w:color w:val="000000"/>
                <w:kern w:val="0"/>
                <w:sz w:val="24"/>
                <w:szCs w:val="24"/>
                <w:u w:val="none"/>
                <w:lang w:val="en-US" w:eastAsia="zh-CN" w:bidi="ar"/>
              </w:rPr>
              <w:t>130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3</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270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4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2</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钢筋工</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130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2</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180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2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3</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机械工</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130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6</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540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7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4</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木工</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130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4</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360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5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5</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安全劝导员</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130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6</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540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7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6</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养护工</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130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4</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360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5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7</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杂工</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130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28</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2520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33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2" w:type="dxa"/>
            <w:gridSpan w:val="3"/>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合计</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53 </w:t>
            </w:r>
          </w:p>
        </w:tc>
        <w:tc>
          <w:tcPr>
            <w:tcW w:w="1294" w:type="dxa"/>
            <w:vAlign w:val="center"/>
          </w:tcPr>
          <w:p>
            <w:pPr>
              <w:keepNext w:val="0"/>
              <w:keepLines w:val="0"/>
              <w:widowControl/>
              <w:suppressLineNumbers w:val="0"/>
              <w:jc w:val="center"/>
              <w:textAlignment w:val="center"/>
              <w:rPr>
                <w:rFonts w:hint="default" w:ascii="仿宋" w:hAnsi="仿宋" w:eastAsia="仿宋" w:cs="仿宋"/>
                <w:spacing w:val="6"/>
                <w:sz w:val="32"/>
                <w:szCs w:val="32"/>
                <w:lang w:val="en-US" w:eastAsia="zh-CN"/>
              </w:rPr>
            </w:pPr>
            <w:r>
              <w:rPr>
                <w:rFonts w:hint="eastAsia" w:ascii="仿宋" w:hAnsi="仿宋" w:eastAsia="仿宋" w:cs="仿宋"/>
                <w:i w:val="0"/>
                <w:iCs w:val="0"/>
                <w:color w:val="000000"/>
                <w:kern w:val="0"/>
                <w:sz w:val="24"/>
                <w:szCs w:val="24"/>
                <w:u w:val="none"/>
                <w:lang w:val="en-US" w:eastAsia="zh-CN" w:bidi="ar"/>
              </w:rPr>
              <w:t>4770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62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bl>
    <w:p>
      <w:pPr>
        <w:pStyle w:val="24"/>
        <w:pageBreakBefore w:val="0"/>
        <w:widowControl w:val="0"/>
        <w:numPr>
          <w:ilvl w:val="0"/>
          <w:numId w:val="0"/>
        </w:numPr>
        <w:kinsoku/>
        <w:wordWrap/>
        <w:overflowPunct/>
        <w:topLinePunct w:val="0"/>
        <w:bidi w:val="0"/>
        <w:snapToGrid w:val="0"/>
        <w:spacing w:line="570" w:lineRule="exact"/>
        <w:jc w:val="both"/>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both"/>
        <w:textAlignment w:val="baseline"/>
        <w:outlineLvl w:val="0"/>
        <w:rPr>
          <w:rFonts w:hint="eastAsia" w:ascii="仿宋" w:hAnsi="仿宋" w:eastAsia="仿宋" w:cs="仿宋"/>
          <w:b/>
          <w:bCs/>
          <w:spacing w:val="6"/>
          <w:sz w:val="36"/>
          <w:szCs w:val="36"/>
          <w:lang w:eastAsia="zh-CN"/>
        </w:rPr>
      </w:pPr>
      <w:bookmarkStart w:id="37" w:name="_Toc25260"/>
      <w:r>
        <w:rPr>
          <w:rFonts w:hint="eastAsia" w:ascii="仿宋" w:hAnsi="仿宋" w:eastAsia="仿宋" w:cs="仿宋"/>
          <w:b/>
          <w:bCs/>
          <w:spacing w:val="6"/>
          <w:sz w:val="36"/>
          <w:szCs w:val="36"/>
          <w:lang w:eastAsia="zh-CN"/>
        </w:rPr>
        <w:t>务工组织</w:t>
      </w:r>
      <w:bookmarkEnd w:id="37"/>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8" w:name="_Toc5718"/>
      <w:r>
        <w:rPr>
          <w:rFonts w:hint="eastAsia" w:ascii="仿宋" w:hAnsi="仿宋" w:eastAsia="仿宋" w:cs="仿宋"/>
          <w:b/>
          <w:bCs/>
          <w:spacing w:val="6"/>
          <w:sz w:val="32"/>
          <w:szCs w:val="32"/>
          <w:lang w:eastAsia="zh-CN"/>
        </w:rPr>
        <w:t>（一）领导小组</w:t>
      </w:r>
      <w:bookmarkEnd w:id="38"/>
    </w:p>
    <w:p>
      <w:pPr>
        <w:keepNext w:val="0"/>
        <w:keepLines w:val="0"/>
        <w:pageBreakBefore w:val="0"/>
        <w:widowControl w:val="0"/>
        <w:kinsoku/>
        <w:wordWrap/>
        <w:overflowPunct/>
        <w:topLinePunct w:val="0"/>
        <w:autoSpaceDE/>
        <w:autoSpaceDN/>
        <w:bidi w:val="0"/>
        <w:adjustRightInd/>
        <w:spacing w:line="570" w:lineRule="exact"/>
        <w:ind w:firstLine="48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为了保证项目能够顺利实施，保证质量按时完成，麦盖提县交通运输局作为项目监督单位、麦盖提县农村公路养护所作为实施单位，成立了项目工作专班。领导小组成员，组长：阿不都阿克木·买买提，副组长：丁祥伟。成员：唐晓红、托合提·巴克、杨丽阳、刘云。</w:t>
      </w:r>
    </w:p>
    <w:p>
      <w:pPr>
        <w:keepNext w:val="0"/>
        <w:keepLines w:val="0"/>
        <w:pageBreakBefore w:val="0"/>
        <w:widowControl w:val="0"/>
        <w:kinsoku/>
        <w:wordWrap/>
        <w:overflowPunct/>
        <w:topLinePunct w:val="0"/>
        <w:autoSpaceDE/>
        <w:autoSpaceDN/>
        <w:bidi w:val="0"/>
        <w:adjustRightInd/>
        <w:spacing w:line="570" w:lineRule="exact"/>
        <w:ind w:firstLine="48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专班组下设办公室，办公室主任由丁祥伟、唐晓红同志兼任，负责全面处理日常事务。</w:t>
      </w:r>
    </w:p>
    <w:p>
      <w:pPr>
        <w:keepNext w:val="0"/>
        <w:keepLines w:val="0"/>
        <w:pageBreakBefore w:val="0"/>
        <w:widowControl w:val="0"/>
        <w:kinsoku/>
        <w:wordWrap/>
        <w:overflowPunct/>
        <w:topLinePunct w:val="0"/>
        <w:autoSpaceDE/>
        <w:autoSpaceDN/>
        <w:bidi w:val="0"/>
        <w:adjustRightInd/>
        <w:spacing w:line="570" w:lineRule="exact"/>
        <w:ind w:firstLine="480"/>
        <w:rPr>
          <w:rFonts w:hint="eastAsia"/>
          <w:lang w:eastAsia="zh-CN"/>
        </w:rPr>
      </w:pPr>
      <w:r>
        <w:rPr>
          <w:rFonts w:hint="eastAsia" w:ascii="仿宋" w:hAnsi="仿宋" w:eastAsia="仿宋" w:cs="仿宋"/>
          <w:spacing w:val="6"/>
          <w:kern w:val="2"/>
          <w:sz w:val="32"/>
          <w:szCs w:val="32"/>
          <w:lang w:val="en-US" w:eastAsia="zh-CN" w:bidi="ar-SA"/>
        </w:rPr>
        <w:t>专班组办公室主要职责：专班组办公室负责日常工作，确保危桥改造项目早开工、早建设、早完工，群众早受益。</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9" w:name="_Toc30939"/>
      <w:r>
        <w:rPr>
          <w:rFonts w:hint="eastAsia" w:ascii="仿宋" w:hAnsi="仿宋" w:eastAsia="仿宋" w:cs="仿宋"/>
          <w:b/>
          <w:bCs/>
          <w:spacing w:val="6"/>
          <w:sz w:val="32"/>
          <w:szCs w:val="32"/>
          <w:lang w:eastAsia="zh-CN"/>
        </w:rPr>
        <w:t>（二）工作任务</w:t>
      </w:r>
      <w:bookmarkEnd w:id="39"/>
    </w:p>
    <w:p>
      <w:pPr>
        <w:keepNext w:val="0"/>
        <w:keepLines w:val="0"/>
        <w:pageBreakBefore w:val="0"/>
        <w:widowControl w:val="0"/>
        <w:kinsoku/>
        <w:wordWrap/>
        <w:overflowPunct/>
        <w:topLinePunct w:val="0"/>
        <w:autoSpaceDE/>
        <w:autoSpaceDN/>
        <w:bidi w:val="0"/>
        <w:adjustRightInd/>
        <w:spacing w:line="570" w:lineRule="exact"/>
        <w:ind w:firstLine="48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建立与县乡村振兴局及上级交通运输部门等有关部门工作中的信息沟通和协调，配合完场各项工作。</w:t>
      </w:r>
    </w:p>
    <w:p>
      <w:pPr>
        <w:keepNext w:val="0"/>
        <w:keepLines w:val="0"/>
        <w:pageBreakBefore w:val="0"/>
        <w:widowControl w:val="0"/>
        <w:kinsoku/>
        <w:wordWrap/>
        <w:overflowPunct/>
        <w:topLinePunct w:val="0"/>
        <w:autoSpaceDE/>
        <w:autoSpaceDN/>
        <w:bidi w:val="0"/>
        <w:adjustRightInd/>
        <w:spacing w:line="570" w:lineRule="exact"/>
        <w:ind w:firstLine="48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做好项目相关信息采集、整理、上报等工作。</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kern w:val="2"/>
          <w:sz w:val="32"/>
          <w:szCs w:val="32"/>
          <w:lang w:val="en-US" w:eastAsia="zh-CN" w:bidi="ar-SA"/>
        </w:rPr>
        <w:t>负责协调解决项目实施过程中存在的具体问题。</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0" w:name="_Toc25458"/>
      <w:r>
        <w:rPr>
          <w:rFonts w:hint="eastAsia" w:ascii="仿宋" w:hAnsi="仿宋" w:eastAsia="仿宋" w:cs="仿宋"/>
          <w:b/>
          <w:bCs/>
          <w:spacing w:val="6"/>
          <w:sz w:val="32"/>
          <w:szCs w:val="32"/>
          <w:lang w:eastAsia="zh-CN"/>
        </w:rPr>
        <w:t>（三）监督管理</w:t>
      </w:r>
      <w:bookmarkEnd w:id="40"/>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县人民政府决策部署，督促落实情况。主管及实施部门为</w:t>
      </w:r>
      <w:r>
        <w:rPr>
          <w:rFonts w:hint="eastAsia" w:ascii="仿宋" w:hAnsi="仿宋" w:eastAsia="仿宋" w:cs="仿宋"/>
          <w:spacing w:val="6"/>
          <w:sz w:val="32"/>
          <w:szCs w:val="32"/>
          <w:lang w:eastAsia="zh-CN"/>
        </w:rPr>
        <w:t>麦盖提县</w:t>
      </w:r>
      <w:r>
        <w:rPr>
          <w:rFonts w:hint="eastAsia" w:ascii="仿宋" w:hAnsi="仿宋" w:eastAsia="仿宋" w:cs="仿宋"/>
          <w:spacing w:val="6"/>
          <w:sz w:val="32"/>
          <w:szCs w:val="32"/>
        </w:rPr>
        <w:t>交通运输局，负责项目全过程管理，落实县人民政府的决策部署。项目所在乡镇及村委会，积极配合项目实施工作，对项目顺利推进提供必要的支持，在项目实施阶段同时做好监督工作，确保工程保质保量。</w:t>
      </w:r>
    </w:p>
    <w:p>
      <w:pPr>
        <w:pStyle w:val="24"/>
        <w:pageBreakBefore w:val="0"/>
        <w:widowControl w:val="0"/>
        <w:numPr>
          <w:ilvl w:val="0"/>
          <w:numId w:val="0"/>
        </w:numPr>
        <w:kinsoku/>
        <w:wordWrap/>
        <w:overflowPunct/>
        <w:topLinePunct w:val="0"/>
        <w:bidi w:val="0"/>
        <w:snapToGrid w:val="0"/>
        <w:spacing w:line="570" w:lineRule="exact"/>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41" w:name="_Toc3368"/>
      <w:r>
        <w:rPr>
          <w:rFonts w:hint="eastAsia" w:ascii="仿宋" w:hAnsi="仿宋" w:eastAsia="仿宋" w:cs="仿宋"/>
          <w:b/>
          <w:bCs/>
          <w:spacing w:val="6"/>
          <w:sz w:val="36"/>
          <w:szCs w:val="36"/>
          <w:lang w:eastAsia="zh-CN"/>
        </w:rPr>
        <w:t>劳务报酬发放</w:t>
      </w:r>
      <w:bookmarkEnd w:id="41"/>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2" w:name="_Toc13254"/>
      <w:r>
        <w:rPr>
          <w:rFonts w:hint="eastAsia" w:ascii="仿宋" w:hAnsi="仿宋" w:eastAsia="仿宋" w:cs="仿宋"/>
          <w:b/>
          <w:bCs/>
          <w:spacing w:val="6"/>
          <w:sz w:val="32"/>
          <w:szCs w:val="32"/>
          <w:lang w:eastAsia="zh-CN"/>
        </w:rPr>
        <w:t>（一）劳务报酬测算</w:t>
      </w:r>
      <w:bookmarkEnd w:id="42"/>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项目建设总投资</w:t>
      </w:r>
      <w:r>
        <w:rPr>
          <w:rFonts w:hint="eastAsia" w:ascii="仿宋" w:hAnsi="仿宋" w:eastAsia="仿宋" w:cs="仿宋"/>
          <w:spacing w:val="6"/>
          <w:sz w:val="32"/>
          <w:szCs w:val="32"/>
          <w:lang w:val="en-US" w:eastAsia="zh-CN"/>
        </w:rPr>
        <w:t>300</w:t>
      </w:r>
      <w:r>
        <w:rPr>
          <w:rFonts w:hint="eastAsia" w:ascii="仿宋" w:hAnsi="仿宋" w:eastAsia="仿宋" w:cs="仿宋"/>
          <w:spacing w:val="6"/>
          <w:sz w:val="32"/>
          <w:szCs w:val="32"/>
        </w:rPr>
        <w:t>万元，</w:t>
      </w:r>
      <w:r>
        <w:rPr>
          <w:rFonts w:hint="eastAsia" w:ascii="仿宋" w:hAnsi="仿宋" w:eastAsia="仿宋" w:cs="仿宋"/>
          <w:color w:val="auto"/>
          <w:spacing w:val="6"/>
          <w:sz w:val="32"/>
          <w:szCs w:val="32"/>
          <w:highlight w:val="none"/>
        </w:rPr>
        <w:t>预计发放劳务报酬</w:t>
      </w:r>
      <w:r>
        <w:rPr>
          <w:rFonts w:hint="eastAsia" w:ascii="仿宋" w:hAnsi="仿宋" w:eastAsia="仿宋" w:cs="仿宋"/>
          <w:color w:val="auto"/>
          <w:spacing w:val="6"/>
          <w:sz w:val="32"/>
          <w:szCs w:val="32"/>
          <w:highlight w:val="none"/>
          <w:lang w:val="en-US" w:eastAsia="zh-CN"/>
        </w:rPr>
        <w:t>62</w:t>
      </w:r>
      <w:r>
        <w:rPr>
          <w:rFonts w:hint="eastAsia" w:ascii="仿宋" w:hAnsi="仿宋" w:eastAsia="仿宋" w:cs="仿宋"/>
          <w:color w:val="auto"/>
          <w:spacing w:val="6"/>
          <w:sz w:val="32"/>
          <w:szCs w:val="32"/>
          <w:highlight w:val="none"/>
        </w:rPr>
        <w:t>万元，占</w:t>
      </w:r>
      <w:r>
        <w:rPr>
          <w:rFonts w:hint="eastAsia" w:ascii="仿宋" w:hAnsi="仿宋" w:eastAsia="仿宋" w:cs="仿宋"/>
          <w:color w:val="auto"/>
          <w:spacing w:val="6"/>
          <w:sz w:val="32"/>
          <w:szCs w:val="32"/>
          <w:highlight w:val="none"/>
          <w:lang w:eastAsia="zh-CN"/>
        </w:rPr>
        <w:t>中央预算内资金</w:t>
      </w:r>
      <w:r>
        <w:rPr>
          <w:rFonts w:hint="eastAsia" w:ascii="仿宋" w:hAnsi="仿宋" w:eastAsia="仿宋" w:cs="仿宋"/>
          <w:color w:val="auto"/>
          <w:spacing w:val="6"/>
          <w:sz w:val="32"/>
          <w:szCs w:val="32"/>
          <w:highlight w:val="none"/>
        </w:rPr>
        <w:t>的</w:t>
      </w:r>
      <w:r>
        <w:rPr>
          <w:rFonts w:hint="eastAsia" w:ascii="仿宋" w:hAnsi="仿宋" w:eastAsia="仿宋" w:cs="仿宋"/>
          <w:color w:val="auto"/>
          <w:spacing w:val="6"/>
          <w:sz w:val="32"/>
          <w:szCs w:val="32"/>
          <w:highlight w:val="none"/>
          <w:lang w:val="en-US" w:eastAsia="zh-CN"/>
        </w:rPr>
        <w:t>20.67</w:t>
      </w:r>
      <w:r>
        <w:rPr>
          <w:rFonts w:hint="eastAsia" w:ascii="仿宋" w:hAnsi="仿宋" w:eastAsia="仿宋" w:cs="仿宋"/>
          <w:color w:val="auto"/>
          <w:spacing w:val="6"/>
          <w:sz w:val="32"/>
          <w:szCs w:val="32"/>
          <w:highlight w:val="none"/>
        </w:rPr>
        <w:t>%，其中</w:t>
      </w:r>
      <w:r>
        <w:rPr>
          <w:rFonts w:hint="eastAsia" w:ascii="仿宋" w:hAnsi="仿宋" w:eastAsia="仿宋" w:cs="仿宋"/>
          <w:color w:val="auto"/>
          <w:spacing w:val="6"/>
          <w:sz w:val="32"/>
          <w:szCs w:val="32"/>
          <w:highlight w:val="none"/>
          <w:lang w:eastAsia="zh-CN"/>
        </w:rPr>
        <w:t>本地群众</w:t>
      </w:r>
      <w:r>
        <w:rPr>
          <w:rFonts w:hint="eastAsia" w:ascii="仿宋" w:hAnsi="仿宋" w:eastAsia="仿宋" w:cs="仿宋"/>
          <w:color w:val="auto"/>
          <w:spacing w:val="6"/>
          <w:sz w:val="32"/>
          <w:szCs w:val="32"/>
          <w:highlight w:val="none"/>
        </w:rPr>
        <w:t>支出</w:t>
      </w:r>
      <w:r>
        <w:rPr>
          <w:rFonts w:hint="eastAsia" w:ascii="仿宋" w:hAnsi="仿宋" w:eastAsia="仿宋" w:cs="仿宋"/>
          <w:color w:val="auto"/>
          <w:spacing w:val="6"/>
          <w:sz w:val="32"/>
          <w:szCs w:val="32"/>
          <w:highlight w:val="none"/>
          <w:lang w:val="en-US" w:eastAsia="zh-CN"/>
        </w:rPr>
        <w:t>53</w:t>
      </w:r>
      <w:r>
        <w:rPr>
          <w:rFonts w:hint="eastAsia" w:ascii="仿宋" w:hAnsi="仿宋" w:eastAsia="仿宋" w:cs="仿宋"/>
          <w:color w:val="auto"/>
          <w:spacing w:val="6"/>
          <w:sz w:val="32"/>
          <w:szCs w:val="32"/>
          <w:highlight w:val="none"/>
        </w:rPr>
        <w:t>万元，占劳务报酬发放总额的8</w:t>
      </w:r>
      <w:r>
        <w:rPr>
          <w:rFonts w:hint="eastAsia" w:ascii="仿宋" w:hAnsi="仿宋" w:eastAsia="仿宋" w:cs="仿宋"/>
          <w:color w:val="auto"/>
          <w:spacing w:val="6"/>
          <w:sz w:val="32"/>
          <w:szCs w:val="32"/>
          <w:highlight w:val="none"/>
          <w:lang w:val="en-US" w:eastAsia="zh-CN"/>
        </w:rPr>
        <w:t>6.2</w:t>
      </w:r>
      <w:r>
        <w:rPr>
          <w:rFonts w:hint="eastAsia" w:ascii="仿宋" w:hAnsi="仿宋" w:eastAsia="仿宋" w:cs="仿宋"/>
          <w:color w:val="auto"/>
          <w:spacing w:val="6"/>
          <w:sz w:val="32"/>
          <w:szCs w:val="32"/>
          <w:highlight w:val="none"/>
        </w:rPr>
        <w:t>%，易地搬迁人口劳务支出</w:t>
      </w:r>
      <w:r>
        <w:rPr>
          <w:rFonts w:hint="eastAsia" w:ascii="仿宋" w:hAnsi="仿宋" w:eastAsia="仿宋" w:cs="仿宋"/>
          <w:color w:val="auto"/>
          <w:spacing w:val="6"/>
          <w:sz w:val="32"/>
          <w:szCs w:val="32"/>
          <w:highlight w:val="none"/>
          <w:lang w:val="en-US" w:eastAsia="zh-CN"/>
        </w:rPr>
        <w:t>9</w:t>
      </w:r>
      <w:r>
        <w:rPr>
          <w:rFonts w:hint="eastAsia" w:ascii="仿宋" w:hAnsi="仿宋" w:eastAsia="仿宋" w:cs="仿宋"/>
          <w:color w:val="auto"/>
          <w:spacing w:val="6"/>
          <w:sz w:val="32"/>
          <w:szCs w:val="32"/>
          <w:highlight w:val="none"/>
        </w:rPr>
        <w:t>万元，占劳务报酬发放总额的</w:t>
      </w:r>
      <w:r>
        <w:rPr>
          <w:rFonts w:hint="eastAsia" w:ascii="仿宋" w:hAnsi="仿宋" w:eastAsia="仿宋" w:cs="仿宋"/>
          <w:color w:val="auto"/>
          <w:spacing w:val="6"/>
          <w:sz w:val="32"/>
          <w:szCs w:val="32"/>
          <w:highlight w:val="none"/>
          <w:lang w:val="en-US" w:eastAsia="zh-CN"/>
        </w:rPr>
        <w:t>13.8</w:t>
      </w:r>
      <w:r>
        <w:rPr>
          <w:rFonts w:hint="eastAsia" w:ascii="仿宋" w:hAnsi="仿宋" w:eastAsia="仿宋" w:cs="仿宋"/>
          <w:color w:val="auto"/>
          <w:spacing w:val="6"/>
          <w:sz w:val="32"/>
          <w:szCs w:val="32"/>
          <w:highlight w:val="none"/>
        </w:rPr>
        <w:t>%。</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3" w:name="_Toc29721"/>
      <w:r>
        <w:rPr>
          <w:rFonts w:hint="eastAsia" w:ascii="仿宋" w:hAnsi="仿宋" w:eastAsia="仿宋" w:cs="仿宋"/>
          <w:b/>
          <w:bCs/>
          <w:spacing w:val="6"/>
          <w:sz w:val="32"/>
          <w:szCs w:val="32"/>
          <w:lang w:eastAsia="zh-CN"/>
        </w:rPr>
        <w:t>（二）劳务报酬发放</w:t>
      </w:r>
      <w:bookmarkEnd w:id="43"/>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在人民政府的主导下，各村委会与项目实施单位之间建立劳务信息沟通机制，根据项目实施单位用工需求，瞄准建档立卡已脱贫人口，重点支持易地扶贫搬迁脱贫群众、脱贫不稳定户、边缘易致贫户，和其他农村低收入群体，做好务工群众的动员组织工作，鼓励组织务工群众组建一支施工队伍，为项目实施提供劳务保障，并督促项目实施单位及时足额向务工群众发放劳务报酬。</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4" w:name="_Toc30794"/>
      <w:r>
        <w:rPr>
          <w:rFonts w:hint="eastAsia" w:ascii="仿宋" w:hAnsi="仿宋" w:eastAsia="仿宋" w:cs="仿宋"/>
          <w:b/>
          <w:bCs/>
          <w:spacing w:val="6"/>
          <w:sz w:val="32"/>
          <w:szCs w:val="32"/>
          <w:lang w:eastAsia="zh-CN"/>
        </w:rPr>
        <w:t>（三）带动群众务工增收预期成效</w:t>
      </w:r>
      <w:bookmarkEnd w:id="44"/>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本工程优先从本地低收入群体特别是易地扶贫搬迁群众中组织参与该工程建设。</w:t>
      </w:r>
    </w:p>
    <w:p>
      <w:pPr>
        <w:pageBreakBefore w:val="0"/>
        <w:widowControl/>
        <w:kinsoku/>
        <w:wordWrap/>
        <w:overflowPunct/>
        <w:topLinePunct w:val="0"/>
        <w:bidi w:val="0"/>
        <w:spacing w:line="570" w:lineRule="exact"/>
        <w:ind w:firstLine="664" w:firstLineChars="200"/>
        <w:jc w:val="left"/>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项目建设总投资</w:t>
      </w:r>
      <w:r>
        <w:rPr>
          <w:rFonts w:hint="eastAsia" w:ascii="仿宋" w:hAnsi="仿宋" w:eastAsia="仿宋" w:cs="仿宋"/>
          <w:spacing w:val="6"/>
          <w:sz w:val="32"/>
          <w:szCs w:val="32"/>
          <w:lang w:val="en-US" w:eastAsia="zh-CN"/>
        </w:rPr>
        <w:t>300</w:t>
      </w:r>
      <w:r>
        <w:rPr>
          <w:rFonts w:hint="eastAsia" w:ascii="仿宋" w:hAnsi="仿宋" w:eastAsia="仿宋" w:cs="仿宋"/>
          <w:spacing w:val="6"/>
          <w:sz w:val="32"/>
          <w:szCs w:val="32"/>
        </w:rPr>
        <w:t>万元，</w:t>
      </w:r>
      <w:r>
        <w:rPr>
          <w:rFonts w:hint="eastAsia" w:ascii="仿宋" w:hAnsi="仿宋" w:eastAsia="仿宋" w:cs="仿宋"/>
          <w:spacing w:val="6"/>
          <w:sz w:val="32"/>
          <w:szCs w:val="32"/>
          <w:lang w:eastAsia="zh-CN"/>
        </w:rPr>
        <w:t>预计</w:t>
      </w:r>
      <w:r>
        <w:rPr>
          <w:rFonts w:hint="eastAsia" w:ascii="仿宋" w:hAnsi="仿宋" w:eastAsia="仿宋" w:cs="仿宋"/>
          <w:spacing w:val="6"/>
          <w:sz w:val="32"/>
          <w:szCs w:val="32"/>
        </w:rPr>
        <w:t>劳务报酬发放共计</w:t>
      </w:r>
      <w:r>
        <w:rPr>
          <w:rFonts w:hint="eastAsia" w:ascii="仿宋" w:hAnsi="仿宋" w:eastAsia="仿宋" w:cs="仿宋"/>
          <w:spacing w:val="6"/>
          <w:sz w:val="32"/>
          <w:szCs w:val="32"/>
          <w:lang w:val="en-US" w:eastAsia="zh-CN"/>
        </w:rPr>
        <w:t>62</w:t>
      </w:r>
      <w:r>
        <w:rPr>
          <w:rFonts w:hint="eastAsia" w:ascii="仿宋" w:hAnsi="仿宋" w:eastAsia="仿宋" w:cs="仿宋"/>
          <w:spacing w:val="6"/>
          <w:sz w:val="32"/>
          <w:szCs w:val="32"/>
        </w:rPr>
        <w:t>万元，</w:t>
      </w:r>
      <w:r>
        <w:rPr>
          <w:rFonts w:hint="eastAsia" w:ascii="仿宋" w:hAnsi="仿宋" w:eastAsia="仿宋" w:cs="仿宋"/>
          <w:spacing w:val="6"/>
          <w:sz w:val="32"/>
          <w:szCs w:val="32"/>
          <w:lang w:eastAsia="zh-CN"/>
        </w:rPr>
        <w:t>人均增收</w:t>
      </w:r>
      <w:r>
        <w:rPr>
          <w:rFonts w:hint="eastAsia" w:ascii="仿宋" w:hAnsi="仿宋" w:eastAsia="仿宋" w:cs="仿宋"/>
          <w:spacing w:val="6"/>
          <w:sz w:val="32"/>
          <w:szCs w:val="32"/>
          <w:lang w:val="en-US" w:eastAsia="zh-CN"/>
        </w:rPr>
        <w:t>1.4万元。</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5" w:name="_Toc14121"/>
      <w:r>
        <w:rPr>
          <w:rFonts w:hint="eastAsia" w:ascii="仿宋" w:hAnsi="仿宋" w:eastAsia="仿宋" w:cs="仿宋"/>
          <w:b/>
          <w:bCs/>
          <w:spacing w:val="6"/>
          <w:sz w:val="32"/>
          <w:szCs w:val="32"/>
          <w:lang w:eastAsia="zh-CN"/>
        </w:rPr>
        <w:t>（四）劳务报酬发放监督管理</w:t>
      </w:r>
      <w:bookmarkEnd w:id="45"/>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rPr>
        <w:t>项目实施后，建设单位提取项目工程费用占比</w:t>
      </w:r>
      <w:r>
        <w:rPr>
          <w:rFonts w:hint="eastAsia" w:ascii="仿宋" w:hAnsi="仿宋" w:eastAsia="仿宋" w:cs="仿宋"/>
          <w:spacing w:val="6"/>
          <w:sz w:val="32"/>
          <w:szCs w:val="32"/>
          <w:lang w:val="en-US" w:eastAsia="zh-CN"/>
        </w:rPr>
        <w:t>20</w:t>
      </w:r>
      <w:r>
        <w:rPr>
          <w:rFonts w:hint="eastAsia" w:ascii="仿宋" w:hAnsi="仿宋" w:eastAsia="仿宋" w:cs="仿宋"/>
          <w:spacing w:val="6"/>
          <w:sz w:val="32"/>
          <w:szCs w:val="32"/>
        </w:rPr>
        <w:t>%的农名工劳务报酬依法按程序存入银行账户进行监管，并设立务工人员工资专卡，依法依规使用。施工方根据项目建设进度按月编制务工工资表，经业主和发改主管部门相关负责人签字确认后，方可由代发银行统一发放至务工人员工资专卡。在项目期间，劳务报酬的发放工作应当做到公开、足额、及时，严禁克扣和拖欠。</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46" w:name="_Toc1895"/>
      <w:r>
        <w:rPr>
          <w:rFonts w:hint="eastAsia" w:ascii="仿宋" w:hAnsi="仿宋" w:eastAsia="仿宋" w:cs="仿宋"/>
          <w:b/>
          <w:bCs/>
          <w:spacing w:val="6"/>
          <w:sz w:val="36"/>
          <w:szCs w:val="36"/>
          <w:lang w:eastAsia="zh-CN"/>
        </w:rPr>
        <w:t>劳动技能培训</w:t>
      </w:r>
      <w:bookmarkEnd w:id="46"/>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7" w:name="_Toc25229"/>
      <w:r>
        <w:rPr>
          <w:rFonts w:hint="eastAsia" w:ascii="仿宋" w:hAnsi="仿宋" w:eastAsia="仿宋" w:cs="仿宋"/>
          <w:b/>
          <w:bCs/>
          <w:spacing w:val="6"/>
          <w:sz w:val="32"/>
          <w:szCs w:val="32"/>
          <w:lang w:eastAsia="zh-CN"/>
        </w:rPr>
        <w:t>（一）技能培训对象和内容</w:t>
      </w:r>
      <w:bookmarkEnd w:id="47"/>
    </w:p>
    <w:p>
      <w:pPr>
        <w:pStyle w:val="24"/>
        <w:pageBreakBefore w:val="0"/>
        <w:numPr>
          <w:ilvl w:val="0"/>
          <w:numId w:val="0"/>
        </w:numPr>
        <w:kinsoku/>
        <w:wordWrap/>
        <w:overflowPunct/>
        <w:topLinePunct w:val="0"/>
        <w:bidi w:val="0"/>
        <w:snapToGrid w:val="0"/>
        <w:spacing w:line="570" w:lineRule="exact"/>
        <w:ind w:firstLine="664" w:firstLineChars="20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rPr>
        <w:t>在建设期开展以工代赈等技能培训，对参与示范项目建设的务工人员以及易地搬迁群众提供就业岗位培训备注</w:t>
      </w:r>
      <w:r>
        <w:rPr>
          <w:rFonts w:hint="eastAsia" w:ascii="仿宋" w:hAnsi="仿宋" w:eastAsia="仿宋" w:cs="仿宋"/>
          <w:spacing w:val="6"/>
          <w:sz w:val="32"/>
          <w:szCs w:val="32"/>
          <w:lang w:eastAsia="zh-CN"/>
        </w:rPr>
        <w:t>。</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8" w:name="_Toc22053"/>
      <w:r>
        <w:rPr>
          <w:rFonts w:hint="eastAsia" w:ascii="仿宋" w:hAnsi="仿宋" w:eastAsia="仿宋" w:cs="仿宋"/>
          <w:b/>
          <w:bCs/>
          <w:spacing w:val="6"/>
          <w:sz w:val="32"/>
          <w:szCs w:val="32"/>
          <w:lang w:eastAsia="zh-CN"/>
        </w:rPr>
        <w:t>（二）培训方式</w:t>
      </w:r>
      <w:bookmarkEnd w:id="48"/>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主要培训方式采用在工程施工过程中进行现场操作培训，培训内容包括</w:t>
      </w:r>
      <w:r>
        <w:rPr>
          <w:rFonts w:hint="eastAsia" w:ascii="仿宋" w:hAnsi="仿宋" w:eastAsia="仿宋" w:cs="仿宋"/>
          <w:spacing w:val="6"/>
          <w:sz w:val="32"/>
          <w:szCs w:val="32"/>
          <w:lang w:eastAsia="zh-CN"/>
        </w:rPr>
        <w:t>普通话及道路</w:t>
      </w:r>
      <w:r>
        <w:rPr>
          <w:rFonts w:hint="eastAsia" w:ascii="仿宋" w:hAnsi="仿宋" w:eastAsia="仿宋" w:cs="仿宋"/>
          <w:spacing w:val="6"/>
          <w:sz w:val="32"/>
          <w:szCs w:val="32"/>
        </w:rPr>
        <w:t>施工技术，力争培训一人，就业一人。项目计划培训</w:t>
      </w:r>
      <w:r>
        <w:rPr>
          <w:rFonts w:hint="eastAsia" w:ascii="仿宋" w:hAnsi="仿宋" w:eastAsia="仿宋" w:cs="仿宋"/>
          <w:spacing w:val="6"/>
          <w:sz w:val="32"/>
          <w:szCs w:val="32"/>
          <w:lang w:val="en-US" w:eastAsia="zh-CN"/>
        </w:rPr>
        <w:t>30</w:t>
      </w:r>
      <w:r>
        <w:rPr>
          <w:rFonts w:hint="eastAsia" w:ascii="仿宋" w:hAnsi="仿宋" w:eastAsia="仿宋" w:cs="仿宋"/>
          <w:spacing w:val="6"/>
          <w:sz w:val="32"/>
          <w:szCs w:val="32"/>
        </w:rPr>
        <w:t>人（其中</w:t>
      </w:r>
      <w:r>
        <w:rPr>
          <w:rFonts w:hint="eastAsia" w:ascii="仿宋" w:hAnsi="仿宋" w:eastAsia="仿宋" w:cs="仿宋"/>
          <w:spacing w:val="6"/>
          <w:sz w:val="32"/>
          <w:szCs w:val="32"/>
          <w:lang w:eastAsia="zh-CN"/>
        </w:rPr>
        <w:t>本地群众</w:t>
      </w:r>
      <w:r>
        <w:rPr>
          <w:rFonts w:hint="eastAsia" w:ascii="仿宋" w:hAnsi="仿宋" w:eastAsia="仿宋" w:cs="仿宋"/>
          <w:spacing w:val="6"/>
          <w:sz w:val="32"/>
          <w:szCs w:val="32"/>
          <w:lang w:val="en-US" w:eastAsia="zh-CN"/>
        </w:rPr>
        <w:t>26</w:t>
      </w:r>
      <w:r>
        <w:rPr>
          <w:rFonts w:hint="eastAsia" w:ascii="仿宋" w:hAnsi="仿宋" w:eastAsia="仿宋" w:cs="仿宋"/>
          <w:spacing w:val="6"/>
          <w:sz w:val="32"/>
          <w:szCs w:val="32"/>
        </w:rPr>
        <w:t>人，易地搬迁人口</w:t>
      </w:r>
      <w:r>
        <w:rPr>
          <w:rFonts w:hint="eastAsia" w:ascii="仿宋" w:hAnsi="仿宋" w:eastAsia="仿宋" w:cs="仿宋"/>
          <w:spacing w:val="6"/>
          <w:sz w:val="32"/>
          <w:szCs w:val="32"/>
          <w:lang w:val="en-US" w:eastAsia="zh-CN"/>
        </w:rPr>
        <w:t>4</w:t>
      </w:r>
      <w:r>
        <w:rPr>
          <w:rFonts w:hint="eastAsia" w:ascii="仿宋" w:hAnsi="仿宋" w:eastAsia="仿宋" w:cs="仿宋"/>
          <w:spacing w:val="6"/>
          <w:sz w:val="32"/>
          <w:szCs w:val="32"/>
        </w:rPr>
        <w:t>人）</w:t>
      </w:r>
      <w:r>
        <w:rPr>
          <w:rFonts w:hint="eastAsia" w:ascii="仿宋" w:hAnsi="仿宋" w:eastAsia="仿宋" w:cs="仿宋"/>
          <w:spacing w:val="6"/>
          <w:sz w:val="32"/>
          <w:szCs w:val="32"/>
          <w:lang w:eastAsia="zh-CN"/>
        </w:rPr>
        <w:t>。</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9" w:name="_Toc29237"/>
      <w:r>
        <w:rPr>
          <w:rFonts w:hint="eastAsia" w:ascii="仿宋" w:hAnsi="仿宋" w:eastAsia="仿宋" w:cs="仿宋"/>
          <w:b/>
          <w:bCs/>
          <w:spacing w:val="6"/>
          <w:sz w:val="32"/>
          <w:szCs w:val="32"/>
          <w:lang w:eastAsia="zh-CN"/>
        </w:rPr>
        <w:t>（三）培训时间及要求</w:t>
      </w:r>
      <w:bookmarkEnd w:id="49"/>
    </w:p>
    <w:p>
      <w:pPr>
        <w:pStyle w:val="24"/>
        <w:pageBreakBefore w:val="0"/>
        <w:kinsoku/>
        <w:wordWrap/>
        <w:overflowPunct/>
        <w:topLinePunct w:val="0"/>
        <w:bidi w:val="0"/>
        <w:snapToGrid w:val="0"/>
        <w:spacing w:line="570" w:lineRule="exact"/>
        <w:ind w:left="0" w:leftChars="0" w:firstLine="664" w:firstLineChars="200"/>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lang w:val="en-US" w:eastAsia="zh-CN"/>
        </w:rPr>
        <w:t>培训时间在项目开工时组织人员集中、分批次培训。</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50" w:name="_Toc26547"/>
      <w:r>
        <w:rPr>
          <w:rFonts w:hint="eastAsia" w:ascii="仿宋" w:hAnsi="仿宋" w:eastAsia="仿宋" w:cs="仿宋"/>
          <w:b/>
          <w:bCs/>
          <w:spacing w:val="6"/>
          <w:sz w:val="32"/>
          <w:szCs w:val="32"/>
          <w:lang w:eastAsia="zh-CN"/>
        </w:rPr>
        <w:t>（四）培训经费来源</w:t>
      </w:r>
      <w:bookmarkEnd w:id="50"/>
    </w:p>
    <w:p>
      <w:pPr>
        <w:pStyle w:val="24"/>
        <w:pageBreakBefore w:val="0"/>
        <w:kinsoku/>
        <w:wordWrap/>
        <w:overflowPunct/>
        <w:topLinePunct w:val="0"/>
        <w:bidi w:val="0"/>
        <w:snapToGrid w:val="0"/>
        <w:spacing w:line="570" w:lineRule="exact"/>
        <w:ind w:left="0" w:leftChars="0" w:firstLine="664" w:firstLineChars="200"/>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培训经费来源：县财政补贴</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51" w:name="_Toc24476"/>
      <w:r>
        <w:rPr>
          <w:rFonts w:hint="eastAsia" w:ascii="仿宋" w:hAnsi="仿宋" w:eastAsia="仿宋" w:cs="仿宋"/>
          <w:b/>
          <w:bCs/>
          <w:spacing w:val="6"/>
          <w:sz w:val="36"/>
          <w:szCs w:val="36"/>
          <w:lang w:eastAsia="zh-CN"/>
        </w:rPr>
        <w:t>赈济模式</w:t>
      </w:r>
      <w:bookmarkEnd w:id="51"/>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本项目以“农村公益性基础设施建设+劳务报酬发放+就业技能培训+公益性岗位设置”综合示范模式实施。</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52" w:name="_Toc9289"/>
      <w:r>
        <w:rPr>
          <w:rFonts w:hint="eastAsia" w:ascii="仿宋" w:hAnsi="仿宋" w:eastAsia="仿宋" w:cs="仿宋"/>
          <w:b/>
          <w:bCs/>
          <w:spacing w:val="6"/>
          <w:sz w:val="36"/>
          <w:szCs w:val="36"/>
          <w:lang w:eastAsia="zh-CN"/>
        </w:rPr>
        <w:t>项目影响效果分析</w:t>
      </w:r>
      <w:bookmarkEnd w:id="52"/>
    </w:p>
    <w:p>
      <w:pPr>
        <w:pageBreakBefore w:val="0"/>
        <w:kinsoku/>
        <w:wordWrap/>
        <w:overflowPunct/>
        <w:topLinePunct w:val="0"/>
        <w:bidi w:val="0"/>
        <w:snapToGrid w:val="0"/>
        <w:spacing w:line="570" w:lineRule="exact"/>
        <w:ind w:firstLine="664" w:firstLineChars="200"/>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成后，可保障区域群众需用生产资料和农副产品的及时调运以免耽误农时影响生产。对期熟农产品、果品外运外销起到保时保质运输，避免不必要的经济损失。道路通达后可减轻群众劳动强度，处理供需矛盾，解决行路运输难等问题，为今后群众生产致富将提供更大帮助。</w:t>
      </w:r>
    </w:p>
    <w:p>
      <w:pPr>
        <w:pageBreakBefore w:val="0"/>
        <w:kinsoku/>
        <w:wordWrap/>
        <w:overflowPunct/>
        <w:topLinePunct w:val="0"/>
        <w:bidi w:val="0"/>
        <w:snapToGrid w:val="0"/>
        <w:spacing w:line="570" w:lineRule="exact"/>
        <w:ind w:firstLine="664" w:firstLineChars="200"/>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切实改变项目区群众出行难，明显改善项目区的交通运输状况。</w:t>
      </w:r>
    </w:p>
    <w:p>
      <w:pPr>
        <w:pageBreakBefore w:val="0"/>
        <w:kinsoku/>
        <w:wordWrap/>
        <w:overflowPunct/>
        <w:topLinePunct w:val="0"/>
        <w:bidi w:val="0"/>
        <w:snapToGrid w:val="0"/>
        <w:spacing w:line="570" w:lineRule="exact"/>
        <w:ind w:firstLine="664" w:firstLineChars="200"/>
        <w:textAlignment w:val="baseline"/>
        <w:rPr>
          <w:rFonts w:hint="eastAsia" w:ascii="仿宋" w:hAnsi="仿宋" w:eastAsia="仿宋" w:cs="仿宋"/>
          <w:b/>
          <w:bCs/>
          <w:spacing w:val="6"/>
          <w:sz w:val="36"/>
          <w:szCs w:val="36"/>
          <w:lang w:eastAsia="zh-CN"/>
        </w:rPr>
      </w:pPr>
      <w:r>
        <w:rPr>
          <w:rFonts w:hint="eastAsia" w:ascii="仿宋" w:hAnsi="仿宋" w:eastAsia="仿宋" w:cs="仿宋"/>
          <w:spacing w:val="6"/>
          <w:sz w:val="32"/>
          <w:szCs w:val="32"/>
        </w:rPr>
        <w:t>劳务报酬发放标准和总额：应发放劳务报酬总额占中央资金比例不得低于</w:t>
      </w:r>
      <w:r>
        <w:rPr>
          <w:rFonts w:hint="eastAsia" w:ascii="仿宋" w:hAnsi="仿宋" w:eastAsia="仿宋" w:cs="仿宋"/>
          <w:spacing w:val="6"/>
          <w:sz w:val="32"/>
          <w:szCs w:val="32"/>
          <w:lang w:val="en-US" w:eastAsia="zh-CN"/>
        </w:rPr>
        <w:t>2</w:t>
      </w:r>
      <w:r>
        <w:rPr>
          <w:rFonts w:hint="eastAsia" w:ascii="仿宋" w:hAnsi="仿宋" w:eastAsia="仿宋" w:cs="仿宋"/>
          <w:spacing w:val="6"/>
          <w:sz w:val="32"/>
          <w:szCs w:val="32"/>
        </w:rPr>
        <w:t>0%，尽可能提高劳务报酬发放比例。</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53" w:name="_Toc29551"/>
      <w:r>
        <w:rPr>
          <w:rFonts w:hint="eastAsia" w:ascii="仿宋" w:hAnsi="仿宋" w:eastAsia="仿宋" w:cs="仿宋"/>
          <w:b/>
          <w:bCs/>
          <w:spacing w:val="6"/>
          <w:sz w:val="32"/>
          <w:szCs w:val="32"/>
          <w:lang w:eastAsia="zh-CN"/>
        </w:rPr>
        <w:t>（一）经济影响</w:t>
      </w:r>
      <w:bookmarkEnd w:id="53"/>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项目建成后，可保障沿线群众需用生产资料和农副产品的及时调运以免耽误农时影响生产。对期熟农产品、果品外运外销起到保时保质运输，避免不必要的经济损失。道路通达</w:t>
      </w:r>
      <w:r>
        <w:rPr>
          <w:rFonts w:hint="eastAsia" w:ascii="仿宋" w:hAnsi="仿宋" w:eastAsia="仿宋" w:cs="仿宋"/>
          <w:spacing w:val="6"/>
          <w:sz w:val="32"/>
          <w:szCs w:val="32"/>
          <w:highlight w:val="none"/>
        </w:rPr>
        <w:t>后可减轻群众劳动强度，处理供需矛盾，解决行路运输难等问题，受益群众</w:t>
      </w:r>
      <w:r>
        <w:rPr>
          <w:rFonts w:hint="eastAsia" w:ascii="仿宋" w:hAnsi="仿宋" w:eastAsia="仿宋" w:cs="仿宋"/>
          <w:spacing w:val="6"/>
          <w:sz w:val="32"/>
          <w:szCs w:val="32"/>
          <w:highlight w:val="none"/>
          <w:lang w:eastAsia="zh-CN"/>
        </w:rPr>
        <w:t>≥</w:t>
      </w:r>
      <w:r>
        <w:rPr>
          <w:rFonts w:hint="eastAsia" w:ascii="仿宋" w:hAnsi="仿宋" w:eastAsia="仿宋" w:cs="仿宋"/>
          <w:spacing w:val="6"/>
          <w:sz w:val="32"/>
          <w:szCs w:val="32"/>
          <w:highlight w:val="none"/>
          <w:lang w:val="en-US" w:eastAsia="zh-CN"/>
        </w:rPr>
        <w:t>50</w:t>
      </w:r>
      <w:r>
        <w:rPr>
          <w:rFonts w:hint="eastAsia" w:ascii="仿宋" w:hAnsi="仿宋" w:eastAsia="仿宋" w:cs="仿宋"/>
          <w:spacing w:val="6"/>
          <w:sz w:val="32"/>
          <w:szCs w:val="32"/>
          <w:highlight w:val="none"/>
        </w:rPr>
        <w:t>人，</w:t>
      </w:r>
      <w:r>
        <w:rPr>
          <w:rFonts w:hint="eastAsia" w:ascii="仿宋" w:hAnsi="仿宋" w:eastAsia="仿宋" w:cs="仿宋"/>
          <w:spacing w:val="6"/>
          <w:sz w:val="32"/>
          <w:szCs w:val="32"/>
        </w:rPr>
        <w:t>为今后群众生产致富将提供更大帮助。</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54" w:name="_Toc19336"/>
      <w:r>
        <w:rPr>
          <w:rFonts w:hint="eastAsia" w:ascii="仿宋" w:hAnsi="仿宋" w:eastAsia="仿宋" w:cs="仿宋"/>
          <w:b/>
          <w:bCs/>
          <w:spacing w:val="6"/>
          <w:sz w:val="32"/>
          <w:szCs w:val="32"/>
          <w:lang w:eastAsia="zh-CN"/>
        </w:rPr>
        <w:t>（二）社会影响分析</w:t>
      </w:r>
      <w:bookmarkEnd w:id="54"/>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交通的改善，树立了代赈扶持基层、服务基层群众的威信度，解决了行路难等问题。增强了干群关系，体现了党和国家对人民群众的关心和照顾。在重效节能方面也能提高效力减少开支，更能促进沿线区域内农副产品，减少支出成本，节约支出能源，使群众的生产生活环境得到根本改善，保障群众生活安逸、生产稳定。</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55" w:name="_Toc32265"/>
      <w:r>
        <w:rPr>
          <w:rFonts w:hint="eastAsia" w:ascii="仿宋" w:hAnsi="仿宋" w:eastAsia="仿宋" w:cs="仿宋"/>
          <w:b/>
          <w:bCs/>
          <w:spacing w:val="6"/>
          <w:sz w:val="32"/>
          <w:szCs w:val="32"/>
          <w:lang w:eastAsia="zh-CN"/>
        </w:rPr>
        <w:t>（三）生态环境影响分析</w:t>
      </w:r>
      <w:bookmarkEnd w:id="55"/>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的建成为该区域提供了良好的交通运输条件，促进了沿线区域的农业资源开发，刺激产业开发，为沿线经济发展提供良好服务，从而带动沿线经济发展。有利于沿线土地资源进一步利用与开发，带动旅游业和第三产业的发展，从而提高居民生活水平。但公路建设不可避免会对区域内的社会自然环境，群众的生产、生活产生影响。</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·公路施工期，因拉料和倒料产生扬尘，对道路两边居民生活带来一定影响，施工时必须去尘，对环境的影响降至最低。</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·公路运营时期，汽车噪声和排放的尾气会对沿线环境造成污染。</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为缓解工程对环境影响的，公路建设项目的环境保护应严格遵守“三同时”（同时设计，同时施工，同时竣工），将环境保护贯彻建设项目始终。为此本项目应在设计及施工过程中注意掌握以下原则，以达到保护和改善公路沿线生活环境与生态环境的目的，并将公路建设对沿线自然和社会环境所带来的不利影响降至最低程度。</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56" w:name="_Toc21460"/>
      <w:r>
        <w:rPr>
          <w:rFonts w:hint="eastAsia" w:ascii="仿宋" w:hAnsi="仿宋" w:eastAsia="仿宋" w:cs="仿宋"/>
          <w:b/>
          <w:bCs/>
          <w:spacing w:val="6"/>
          <w:sz w:val="36"/>
          <w:szCs w:val="36"/>
          <w:lang w:eastAsia="zh-CN"/>
        </w:rPr>
        <w:t>项目风险管控方案</w:t>
      </w:r>
      <w:bookmarkEnd w:id="56"/>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val="0"/>
          <w:bCs w:val="0"/>
          <w:spacing w:val="6"/>
          <w:sz w:val="32"/>
          <w:szCs w:val="32"/>
          <w:lang w:eastAsia="zh-CN"/>
        </w:rPr>
      </w:pPr>
      <w:bookmarkStart w:id="57" w:name="_Toc29052"/>
      <w:r>
        <w:rPr>
          <w:rFonts w:hint="eastAsia" w:ascii="仿宋" w:hAnsi="仿宋" w:eastAsia="仿宋" w:cs="仿宋"/>
          <w:b w:val="0"/>
          <w:bCs w:val="0"/>
          <w:spacing w:val="6"/>
          <w:sz w:val="32"/>
          <w:szCs w:val="32"/>
          <w:lang w:val="en-US" w:eastAsia="zh-CN"/>
        </w:rPr>
        <w:t>1、</w:t>
      </w:r>
      <w:r>
        <w:rPr>
          <w:rFonts w:hint="eastAsia" w:ascii="仿宋" w:hAnsi="仿宋" w:eastAsia="仿宋" w:cs="仿宋"/>
          <w:b w:val="0"/>
          <w:bCs w:val="0"/>
          <w:spacing w:val="6"/>
          <w:sz w:val="32"/>
          <w:szCs w:val="32"/>
          <w:lang w:eastAsia="zh-CN"/>
        </w:rPr>
        <w:t>风险识别与评价</w:t>
      </w:r>
      <w:bookmarkEnd w:id="57"/>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项目风险识别与分析贯穿于项目建设和生产运营的全过程。拟投资项目投资分析应着重识别以下风险：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1）</w:t>
      </w:r>
      <w:r>
        <w:rPr>
          <w:rFonts w:hint="eastAsia" w:ascii="仿宋" w:hAnsi="仿宋" w:eastAsia="仿宋" w:cs="仿宋"/>
          <w:b w:val="0"/>
          <w:bCs w:val="0"/>
          <w:spacing w:val="6"/>
          <w:sz w:val="32"/>
          <w:szCs w:val="32"/>
        </w:rPr>
        <w:t>组织机构风险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组织机构方面的风险主要指项目组织设置方案不适于拟建项目的建设或营运，项目法人代表，企业管理层不能胜任项目的组织与管理，影响项目的实施。</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2）</w:t>
      </w:r>
      <w:r>
        <w:rPr>
          <w:rFonts w:hint="eastAsia" w:ascii="仿宋" w:hAnsi="仿宋" w:eastAsia="仿宋" w:cs="仿宋"/>
          <w:b w:val="0"/>
          <w:bCs w:val="0"/>
          <w:spacing w:val="6"/>
          <w:sz w:val="32"/>
          <w:szCs w:val="32"/>
        </w:rPr>
        <w:t>施工技术风险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项目技术方面的风险主要指项目采用技术（包括引进技术）的先进性、可靠性、适用性和可得性与预测方案发生重大变化，可能给项目带来的风险。拟建项目涉及到桥梁工程结构较为复杂，技术含量相对较高，施工阶段存在技术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3）</w:t>
      </w:r>
      <w:r>
        <w:rPr>
          <w:rFonts w:hint="eastAsia" w:ascii="仿宋" w:hAnsi="仿宋" w:eastAsia="仿宋" w:cs="仿宋"/>
          <w:b w:val="0"/>
          <w:bCs w:val="0"/>
          <w:spacing w:val="6"/>
          <w:sz w:val="32"/>
          <w:szCs w:val="32"/>
        </w:rPr>
        <w:t>工程风险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拟建项目工程风险主要包括，由于路线方案、工程地质条件、水文地质条件与预测发生重大变化，导致工程量增加、投资增加、工期拖长给拟建项目带来的风险。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4）</w:t>
      </w:r>
      <w:r>
        <w:rPr>
          <w:rFonts w:hint="eastAsia" w:ascii="仿宋" w:hAnsi="仿宋" w:eastAsia="仿宋" w:cs="仿宋"/>
          <w:b w:val="0"/>
          <w:bCs w:val="0"/>
          <w:spacing w:val="6"/>
          <w:sz w:val="32"/>
          <w:szCs w:val="32"/>
        </w:rPr>
        <w:t>投资估算风险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投资估算风险主要来自工程方案变动的工程量增加、工期延长，人工、材料、机械台班、各种费率、利率的提高，征地拆迁工作的进展等。近期以来，我国物价水平明显上升，并有进一步上涨的趋势，物价的上涨会带动人工、筑路材料、机械台班、各种费率的提高，从而增大投资，形成一定的投资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5）</w:t>
      </w:r>
      <w:r>
        <w:rPr>
          <w:rFonts w:hint="eastAsia" w:ascii="仿宋" w:hAnsi="仿宋" w:eastAsia="仿宋" w:cs="仿宋"/>
          <w:b w:val="0"/>
          <w:bCs w:val="0"/>
          <w:spacing w:val="6"/>
          <w:sz w:val="32"/>
          <w:szCs w:val="32"/>
        </w:rPr>
        <w:t>资金风险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拟建项目为以工代赈项目，资金风险小。</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6）</w:t>
      </w:r>
      <w:r>
        <w:rPr>
          <w:rFonts w:hint="eastAsia" w:ascii="仿宋" w:hAnsi="仿宋" w:eastAsia="仿宋" w:cs="仿宋"/>
          <w:b w:val="0"/>
          <w:bCs w:val="0"/>
          <w:spacing w:val="6"/>
          <w:sz w:val="32"/>
          <w:szCs w:val="32"/>
        </w:rPr>
        <w:t>环境影响风险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环境影响风险包括两方面：一方面是建设阶段的风险，另一方面是运营阶段的风险。拟建项目建设阶段环境影响方面的风险主要指工程建设对周围水资源、矿产资源、森林植被、风景名胜、自然环境等产生的负面影响，破坏或影响周边环境，由于政策法规对周边环境的保护而致使项目不能顺利实施或需要增加大量投资进行治理、保护或恢复。拟建项目运营阶段环境影响方面的风险主要指运营阶段，随着道路交通量的增长，公路沿线噪声污染、废气污染日趋严重，环境治理和国家环保政策的调整将加大营运阶段成本或制约道路车流量的增加。</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7）</w:t>
      </w:r>
      <w:r>
        <w:rPr>
          <w:rFonts w:hint="eastAsia" w:ascii="仿宋" w:hAnsi="仿宋" w:eastAsia="仿宋" w:cs="仿宋"/>
          <w:b w:val="0"/>
          <w:bCs w:val="0"/>
          <w:spacing w:val="6"/>
          <w:sz w:val="32"/>
          <w:szCs w:val="32"/>
        </w:rPr>
        <w:t>市场风险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本项目交通量构成主要为运输日常百货、农副产品的大型货运车辆。随着国家经济运行态势的调整以及新疆地区对喀什地区的发展规划，对本项目区域日常百货及农副产品的进出往来量造成影响，间接影响到本项目的交通量，从项目整体的交通量预测结果来看，本项目交通量有限，会有一定的还贷风险和市场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8）</w:t>
      </w:r>
      <w:r>
        <w:rPr>
          <w:rFonts w:hint="eastAsia" w:ascii="仿宋" w:hAnsi="仿宋" w:eastAsia="仿宋" w:cs="仿宋"/>
          <w:b w:val="0"/>
          <w:bCs w:val="0"/>
          <w:spacing w:val="6"/>
          <w:sz w:val="32"/>
          <w:szCs w:val="32"/>
        </w:rPr>
        <w:t>政策风险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政策风险主要来自两个方面：一是指国家政策影响区域经济的发展，从而影响运输需求；二是国家由于某种政治或经济政策上的原因，对目前公路项目建设、运营、管理等方面政策法规的变化。</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国家对目前公路项目建设、运营、管理等方面政策法规的变化，例如国家在法律制度、税收制度（如改变或增加项目的税收）、劳资关系等与项目有关的敏感性问题方面的变化等，都可能最终改变项目投资者的经营成本和收入，从而影响项目的获利水平以及债务偿还能力。</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9）</w:t>
      </w:r>
      <w:r>
        <w:rPr>
          <w:rFonts w:hint="eastAsia" w:ascii="仿宋" w:hAnsi="仿宋" w:eastAsia="仿宋" w:cs="仿宋"/>
          <w:b w:val="0"/>
          <w:bCs w:val="0"/>
          <w:spacing w:val="6"/>
          <w:sz w:val="32"/>
          <w:szCs w:val="32"/>
        </w:rPr>
        <w:t>社会影响风险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社会影响风险指预测的社会条件、社会环境发生变化，给项目建设和运营带来损失。</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10）</w:t>
      </w:r>
      <w:r>
        <w:rPr>
          <w:rFonts w:hint="eastAsia" w:ascii="仿宋" w:hAnsi="仿宋" w:eastAsia="仿宋" w:cs="仿宋"/>
          <w:b w:val="0"/>
          <w:bCs w:val="0"/>
          <w:spacing w:val="6"/>
          <w:sz w:val="32"/>
          <w:szCs w:val="32"/>
        </w:rPr>
        <w:t>不可抗力风险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不可抗力风险通常分为两类：</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①因自然因素导致的不可抗力风险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由于不能合理预见的自然灾害（如地震、洪水、台风等）、病疫等事件导致本项目失败或收益大幅度减少的风险。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②因非自然因素导致的不可抗力风险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由于不可合理预见的战争、暴乱、罢工等事件发生导致本项目失败或收益大幅减少的风险。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11）</w:t>
      </w:r>
      <w:r>
        <w:rPr>
          <w:rFonts w:hint="eastAsia" w:ascii="仿宋" w:hAnsi="仿宋" w:eastAsia="仿宋" w:cs="仿宋"/>
          <w:b w:val="0"/>
          <w:bCs w:val="0"/>
          <w:spacing w:val="6"/>
          <w:sz w:val="32"/>
          <w:szCs w:val="32"/>
        </w:rPr>
        <w:t>财务风险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拟建</w:t>
      </w:r>
      <w:r>
        <w:rPr>
          <w:rFonts w:hint="eastAsia" w:ascii="仿宋" w:hAnsi="仿宋" w:eastAsia="仿宋" w:cs="仿宋"/>
          <w:b w:val="0"/>
          <w:bCs w:val="0"/>
          <w:spacing w:val="6"/>
          <w:sz w:val="32"/>
          <w:szCs w:val="32"/>
          <w:lang w:eastAsia="zh-CN"/>
        </w:rPr>
        <w:t>桥梁</w:t>
      </w:r>
      <w:r>
        <w:rPr>
          <w:rFonts w:hint="eastAsia" w:ascii="仿宋" w:hAnsi="仿宋" w:eastAsia="仿宋" w:cs="仿宋"/>
          <w:b w:val="0"/>
          <w:bCs w:val="0"/>
          <w:spacing w:val="6"/>
          <w:sz w:val="32"/>
          <w:szCs w:val="32"/>
        </w:rPr>
        <w:t>投资较大、交通量有限，在项目计算期内从国民经济评价分析来看，项目是可行的。从财务评价方面分析，本项目财务风险较小。</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12）</w:t>
      </w:r>
      <w:r>
        <w:rPr>
          <w:rFonts w:hint="eastAsia" w:ascii="仿宋" w:hAnsi="仿宋" w:eastAsia="仿宋" w:cs="仿宋"/>
          <w:b w:val="0"/>
          <w:bCs w:val="0"/>
          <w:spacing w:val="6"/>
          <w:sz w:val="32"/>
          <w:szCs w:val="32"/>
        </w:rPr>
        <w:t>其它风险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b w:val="0"/>
          <w:bCs w:val="0"/>
          <w:spacing w:val="6"/>
          <w:sz w:val="32"/>
          <w:szCs w:val="32"/>
        </w:rPr>
        <w:t>上述风险分析中未考虑到的风险。</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（二）风险管控方案</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风险分析的目的是研究如何降低风险程度或者规避风险，减少风险损失。在预测主要风险因素及其风险程度后，应根据不同风险因素提出相应的规避和防范对策，以期减小可能的损失；可能提出的风险防范对策主要有风险回避、风险控制、风险转移及风险自担几种，应根据风险的种类合理选择。</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（三）风险应急预案</w:t>
      </w:r>
    </w:p>
    <w:p>
      <w:pPr>
        <w:pStyle w:val="24"/>
        <w:pageBreakBefore w:val="0"/>
        <w:kinsoku/>
        <w:wordWrap/>
        <w:overflowPunct/>
        <w:topLinePunct w:val="0"/>
        <w:bidi w:val="0"/>
        <w:snapToGrid w:val="0"/>
        <w:spacing w:line="570" w:lineRule="exact"/>
        <w:ind w:firstLine="664"/>
        <w:textAlignment w:val="baseline"/>
        <w:outlineLvl w:val="1"/>
        <w:rPr>
          <w:rFonts w:hint="eastAsia" w:ascii="仿宋" w:hAnsi="仿宋" w:eastAsia="仿宋" w:cs="仿宋"/>
          <w:spacing w:val="6"/>
          <w:sz w:val="32"/>
          <w:szCs w:val="32"/>
          <w:lang w:eastAsia="zh-CN"/>
        </w:rPr>
      </w:pPr>
      <w:bookmarkStart w:id="58" w:name="_Toc18074"/>
      <w:r>
        <w:rPr>
          <w:rFonts w:hint="eastAsia" w:ascii="仿宋" w:hAnsi="仿宋" w:eastAsia="仿宋" w:cs="仿宋"/>
          <w:spacing w:val="6"/>
          <w:sz w:val="32"/>
          <w:szCs w:val="32"/>
          <w:lang w:eastAsia="zh-CN"/>
        </w:rPr>
        <w:t>1项目风险预测与防范</w:t>
      </w:r>
      <w:bookmarkEnd w:id="58"/>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根据本合同工程特点，判定本项目施工风险，施工中按</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照设计及规范的要求，制定专项技术和安全方案，严格遵守质量管理体系和安全管理体系。</w:t>
      </w:r>
    </w:p>
    <w:p>
      <w:pPr>
        <w:pStyle w:val="24"/>
        <w:pageBreakBefore w:val="0"/>
        <w:kinsoku/>
        <w:wordWrap/>
        <w:overflowPunct/>
        <w:topLinePunct w:val="0"/>
        <w:bidi w:val="0"/>
        <w:snapToGrid w:val="0"/>
        <w:spacing w:line="570" w:lineRule="exact"/>
        <w:ind w:firstLine="664"/>
        <w:textAlignment w:val="baseline"/>
        <w:outlineLvl w:val="1"/>
        <w:rPr>
          <w:rFonts w:hint="eastAsia" w:ascii="仿宋" w:hAnsi="仿宋" w:eastAsia="仿宋" w:cs="仿宋"/>
          <w:spacing w:val="6"/>
          <w:sz w:val="32"/>
          <w:szCs w:val="32"/>
          <w:lang w:eastAsia="zh-CN"/>
        </w:rPr>
      </w:pPr>
      <w:bookmarkStart w:id="59" w:name="_Toc23408"/>
      <w:r>
        <w:rPr>
          <w:rFonts w:hint="eastAsia" w:ascii="仿宋" w:hAnsi="仿宋" w:eastAsia="仿宋" w:cs="仿宋"/>
          <w:spacing w:val="6"/>
          <w:sz w:val="32"/>
          <w:szCs w:val="32"/>
          <w:lang w:eastAsia="zh-CN"/>
        </w:rPr>
        <w:t>2事故应急预案措施</w:t>
      </w:r>
      <w:bookmarkEnd w:id="59"/>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成立应急事故领导小组，组建高效运转的应急事故领导</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机构。</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有针对性地制订应急预案，进行应急事故演练。</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做好对技术负责人、专职安全员和操作工人的安全施工</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技术交底和安全生产教育工作，确保施工安全。</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应急事故发生时，应急预案立即启动，各级人员做好现</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场处理措施，并根据应急预案逐级上报相关部门，各部门快</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速反应，及时到达现场，根据实际情况制定救援措施，做好</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各方面协调指挥工作。</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事后有关部门进行事故调查，分析原因，做好记录，并</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上报备案。</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60" w:name="_Toc17675"/>
      <w:r>
        <w:rPr>
          <w:rFonts w:hint="eastAsia" w:ascii="仿宋" w:hAnsi="仿宋" w:eastAsia="仿宋" w:cs="仿宋"/>
          <w:b/>
          <w:bCs/>
          <w:spacing w:val="6"/>
          <w:sz w:val="36"/>
          <w:szCs w:val="36"/>
          <w:lang w:eastAsia="zh-CN"/>
        </w:rPr>
        <w:t>保障措施</w:t>
      </w:r>
      <w:bookmarkEnd w:id="60"/>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61" w:name="_Toc8662"/>
      <w:r>
        <w:rPr>
          <w:rFonts w:hint="eastAsia" w:ascii="仿宋" w:hAnsi="仿宋" w:eastAsia="仿宋" w:cs="仿宋"/>
          <w:b/>
          <w:bCs/>
          <w:spacing w:val="6"/>
          <w:sz w:val="32"/>
          <w:szCs w:val="32"/>
          <w:lang w:eastAsia="zh-CN"/>
        </w:rPr>
        <w:t>（一）组织保障</w:t>
      </w:r>
      <w:bookmarkEnd w:id="61"/>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公路施工前，应根据建设规模及技术标准、工程方案建</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立健全施工组织管理机构，制定施工管理制度，明确分工，落实责任。提出合理的建设工期和实施进度方案，形成完整有效的工程质量保证体系，科学组织建设过程中各阶段的工作，按工程实施进度安排建设资金，为项目建设和生产运营顺利进行提供有力保障。</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62" w:name="_Toc18639"/>
      <w:r>
        <w:rPr>
          <w:rFonts w:hint="eastAsia" w:ascii="仿宋" w:hAnsi="仿宋" w:eastAsia="仿宋" w:cs="仿宋"/>
          <w:b/>
          <w:bCs/>
          <w:spacing w:val="6"/>
          <w:sz w:val="32"/>
          <w:szCs w:val="32"/>
          <w:lang w:eastAsia="zh-CN"/>
        </w:rPr>
        <w:t>（二）工作保障</w:t>
      </w:r>
      <w:bookmarkEnd w:id="62"/>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根据“政府监督、社会监理、企业自检”的原则和层层负责的质量责任制，项目法人代表代表建设单位对工程质量负总责。勘察设计单位必须按资质等级要求承担相应的勘察设计任务，按照国家现行的有关规定、技术标准和合同进行勘察设计，加强设计过程中的质量控制，健全设计文件的审核会签制度。施工单位要接受质监对其资质和质保体系的监督检查，要严格按照设计图纸和技术标准、规范进行施工，</w:t>
      </w:r>
    </w:p>
    <w:p>
      <w:pPr>
        <w:pStyle w:val="24"/>
        <w:pageBreakBefore w:val="0"/>
        <w:kinsoku/>
        <w:wordWrap/>
        <w:overflowPunct/>
        <w:topLinePunct w:val="0"/>
        <w:bidi w:val="0"/>
        <w:snapToGrid w:val="0"/>
        <w:spacing w:line="570" w:lineRule="exact"/>
        <w:ind w:left="0" w:leftChars="0" w:firstLine="664" w:firstLineChars="200"/>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lang w:eastAsia="zh-CN"/>
        </w:rPr>
        <w:t>并对施工的质量负责。工程监理人员要严格执行工程监理有关规定和要求，开展施工过程中的“三控制、二管理、一协调”工作，并坚持事前、事中、事后的工程质量控制程序，确保整个工程按上级要求顺利完成。</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63" w:name="_Toc15688"/>
      <w:r>
        <w:rPr>
          <w:rFonts w:hint="eastAsia" w:ascii="仿宋" w:hAnsi="仿宋" w:eastAsia="仿宋" w:cs="仿宋"/>
          <w:b/>
          <w:bCs/>
          <w:spacing w:val="6"/>
          <w:sz w:val="36"/>
          <w:szCs w:val="36"/>
          <w:lang w:eastAsia="zh-CN"/>
        </w:rPr>
        <w:t>研究结论及建议</w:t>
      </w:r>
      <w:bookmarkEnd w:id="63"/>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64" w:name="_Toc32612"/>
      <w:r>
        <w:rPr>
          <w:rFonts w:hint="eastAsia" w:ascii="仿宋" w:hAnsi="仿宋" w:eastAsia="仿宋" w:cs="仿宋"/>
          <w:b/>
          <w:bCs/>
          <w:spacing w:val="6"/>
          <w:sz w:val="32"/>
          <w:szCs w:val="32"/>
          <w:lang w:eastAsia="zh-CN"/>
        </w:rPr>
        <w:t>（一）主要研究结论</w:t>
      </w:r>
      <w:bookmarkEnd w:id="64"/>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本项目</w:t>
      </w:r>
      <w:r>
        <w:rPr>
          <w:rFonts w:hint="eastAsia" w:ascii="仿宋" w:hAnsi="仿宋" w:eastAsia="仿宋" w:cs="仿宋"/>
          <w:spacing w:val="6"/>
          <w:sz w:val="32"/>
          <w:szCs w:val="32"/>
        </w:rPr>
        <w:t>是落实国家和自治区以工代赈扶贫开发重大战略，提高群众出行环境，实现共同富裕的需要项目。本项目作为麦盖提县以工代赈项目，项目的实施不仅对改善目前项目区</w:t>
      </w:r>
      <w:r>
        <w:rPr>
          <w:rFonts w:hint="eastAsia" w:ascii="仿宋" w:hAnsi="仿宋" w:eastAsia="仿宋" w:cs="仿宋"/>
          <w:spacing w:val="6"/>
          <w:sz w:val="32"/>
          <w:szCs w:val="32"/>
          <w:lang w:eastAsia="zh-CN"/>
        </w:rPr>
        <w:t>脱贫不稳定户、边缘易致贫户、突发严重困难户、低收入者的</w:t>
      </w:r>
      <w:r>
        <w:rPr>
          <w:rFonts w:hint="eastAsia" w:ascii="仿宋" w:hAnsi="仿宋" w:eastAsia="仿宋" w:cs="仿宋"/>
          <w:spacing w:val="6"/>
          <w:sz w:val="32"/>
          <w:szCs w:val="32"/>
        </w:rPr>
        <w:t>生产生活条件十分必要，同时对落实国家和自治区扶贫开发重大战略，提高当地</w:t>
      </w:r>
      <w:r>
        <w:rPr>
          <w:rFonts w:hint="eastAsia" w:ascii="仿宋" w:hAnsi="仿宋" w:eastAsia="仿宋" w:cs="仿宋"/>
          <w:spacing w:val="6"/>
          <w:sz w:val="32"/>
          <w:szCs w:val="32"/>
          <w:lang w:eastAsia="zh-CN"/>
        </w:rPr>
        <w:t>脱贫不稳定户、边缘易致贫户、突发严重困难户、低收入者的</w:t>
      </w:r>
      <w:r>
        <w:rPr>
          <w:rFonts w:hint="eastAsia" w:ascii="仿宋" w:hAnsi="仿宋" w:eastAsia="仿宋" w:cs="仿宋"/>
          <w:spacing w:val="6"/>
          <w:sz w:val="32"/>
          <w:szCs w:val="32"/>
        </w:rPr>
        <w:t>收入水平，实现共同富裕也具有积极的现实意义。</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项目的建设，有效地促进了当地的经济发展和社会发展。而且间接促进了当地生态环境的改善，项目的建设具有显著的社会效益、经济效益和生态效益。因此，该项目是可行的。</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65" w:name="_Toc1900"/>
      <w:r>
        <w:rPr>
          <w:rFonts w:hint="eastAsia" w:ascii="仿宋" w:hAnsi="仿宋" w:eastAsia="仿宋" w:cs="仿宋"/>
          <w:b/>
          <w:bCs/>
          <w:spacing w:val="6"/>
          <w:sz w:val="32"/>
          <w:szCs w:val="32"/>
          <w:lang w:eastAsia="zh-CN"/>
        </w:rPr>
        <w:t>（二）问题与建议</w:t>
      </w:r>
      <w:bookmarkEnd w:id="65"/>
    </w:p>
    <w:p>
      <w:pPr>
        <w:pStyle w:val="24"/>
        <w:pageBreakBefore w:val="0"/>
        <w:kinsoku/>
        <w:wordWrap/>
        <w:overflowPunct/>
        <w:topLinePunct w:val="0"/>
        <w:bidi w:val="0"/>
        <w:snapToGrid w:val="0"/>
        <w:spacing w:line="570" w:lineRule="exact"/>
        <w:ind w:left="0" w:leftChars="0" w:firstLine="664" w:firstLineChars="200"/>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根据上级以工代赈项目实施精神，以工代赈资金20%应使当地群众受益。在项目建设时，筑路材料等当地具备的应就地解决，同时应安排当地群众有偿参与建设，并切实抓好落实。</w:t>
      </w:r>
    </w:p>
    <w:p>
      <w:pPr>
        <w:pStyle w:val="24"/>
        <w:pageBreakBefore w:val="0"/>
        <w:kinsoku/>
        <w:wordWrap/>
        <w:overflowPunct/>
        <w:topLinePunct w:val="0"/>
        <w:bidi w:val="0"/>
        <w:snapToGrid w:val="0"/>
        <w:spacing w:line="570" w:lineRule="exact"/>
        <w:ind w:left="0" w:leftChars="0" w:firstLine="664" w:firstLineChars="200"/>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项目施工要通过招投标，施工单位必须具备施工资质，否则不予参加项目招标。</w:t>
      </w:r>
    </w:p>
    <w:p>
      <w:pPr>
        <w:pStyle w:val="24"/>
        <w:pageBreakBefore w:val="0"/>
        <w:kinsoku/>
        <w:wordWrap/>
        <w:overflowPunct/>
        <w:topLinePunct w:val="0"/>
        <w:bidi w:val="0"/>
        <w:snapToGrid w:val="0"/>
        <w:spacing w:line="570" w:lineRule="exact"/>
        <w:ind w:left="0" w:leftChars="0" w:firstLine="664" w:firstLineChars="200"/>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拟建项目社会效益较好，为争取早日建成，早受益，有关部门应做好前期工作，积极落实配套资金，力争提前建好这项“富民工程”。</w:t>
      </w:r>
    </w:p>
    <w:p>
      <w:pPr>
        <w:pStyle w:val="24"/>
        <w:pageBreakBefore w:val="0"/>
        <w:kinsoku/>
        <w:wordWrap/>
        <w:overflowPunct/>
        <w:topLinePunct w:val="0"/>
        <w:bidi w:val="0"/>
        <w:snapToGrid w:val="0"/>
        <w:spacing w:line="570" w:lineRule="exact"/>
        <w:ind w:left="0" w:leftChars="0" w:firstLine="664" w:firstLineChars="200"/>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项目沿线各级政府在项目建设期间，要给予大力支持，给施工单位提供良好的施工环境。</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0"/>
        <w:rPr>
          <w:rFonts w:hint="eastAsia" w:ascii="仿宋" w:hAnsi="仿宋" w:eastAsia="仿宋" w:cs="仿宋"/>
          <w:b/>
          <w:bCs/>
          <w:spacing w:val="6"/>
          <w:sz w:val="36"/>
          <w:szCs w:val="36"/>
          <w:lang w:eastAsia="zh-CN"/>
        </w:rPr>
      </w:pPr>
      <w:bookmarkStart w:id="66" w:name="_Toc15725"/>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0"/>
        <w:rPr>
          <w:rFonts w:hint="eastAsia" w:ascii="仿宋" w:hAnsi="仿宋" w:eastAsia="仿宋" w:cs="仿宋"/>
          <w:b/>
          <w:bCs/>
          <w:spacing w:val="6"/>
          <w:sz w:val="36"/>
          <w:szCs w:val="36"/>
          <w:lang w:eastAsia="zh-CN"/>
        </w:rPr>
      </w:pP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0"/>
        <w:rPr>
          <w:rFonts w:hint="eastAsia" w:ascii="仿宋" w:hAnsi="仿宋" w:eastAsia="仿宋" w:cs="仿宋"/>
          <w:b/>
          <w:bCs/>
          <w:spacing w:val="6"/>
          <w:sz w:val="36"/>
          <w:szCs w:val="36"/>
          <w:lang w:eastAsia="zh-CN"/>
        </w:rPr>
      </w:pP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0"/>
        <w:rPr>
          <w:rFonts w:hint="eastAsia" w:ascii="仿宋" w:hAnsi="仿宋" w:eastAsia="仿宋" w:cs="仿宋"/>
          <w:b/>
          <w:bCs/>
          <w:spacing w:val="6"/>
          <w:sz w:val="36"/>
          <w:szCs w:val="36"/>
          <w:lang w:eastAsia="zh-CN"/>
        </w:rPr>
      </w:pP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0"/>
        <w:rPr>
          <w:rFonts w:hint="eastAsia" w:ascii="仿宋" w:hAnsi="仿宋" w:eastAsia="仿宋" w:cs="仿宋"/>
          <w:b/>
          <w:bCs/>
          <w:spacing w:val="6"/>
          <w:sz w:val="36"/>
          <w:szCs w:val="36"/>
          <w:lang w:eastAsia="zh-CN"/>
        </w:rPr>
      </w:pP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0"/>
        <w:rPr>
          <w:rFonts w:hint="eastAsia" w:ascii="仿宋" w:hAnsi="仿宋" w:eastAsia="仿宋" w:cs="仿宋"/>
          <w:b/>
          <w:bCs/>
          <w:spacing w:val="6"/>
          <w:sz w:val="36"/>
          <w:szCs w:val="36"/>
          <w:lang w:eastAsia="zh-CN"/>
        </w:rPr>
      </w:pP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0"/>
        <w:rPr>
          <w:rFonts w:hint="eastAsia" w:ascii="仿宋" w:hAnsi="仿宋" w:eastAsia="仿宋" w:cs="仿宋"/>
          <w:b/>
          <w:bCs/>
          <w:spacing w:val="6"/>
          <w:sz w:val="36"/>
          <w:szCs w:val="36"/>
          <w:lang w:eastAsia="zh-CN"/>
        </w:rPr>
      </w:pP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0"/>
        <w:rPr>
          <w:rFonts w:hint="eastAsia" w:ascii="仿宋" w:hAnsi="仿宋" w:eastAsia="仿宋" w:cs="仿宋"/>
          <w:b/>
          <w:bCs/>
          <w:spacing w:val="6"/>
          <w:sz w:val="36"/>
          <w:szCs w:val="36"/>
          <w:lang w:eastAsia="zh-CN"/>
        </w:rPr>
      </w:pP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0"/>
        <w:rPr>
          <w:rFonts w:hint="eastAsia" w:ascii="仿宋" w:hAnsi="仿宋" w:eastAsia="仿宋" w:cs="仿宋"/>
          <w:b/>
          <w:bCs/>
          <w:spacing w:val="6"/>
          <w:sz w:val="36"/>
          <w:szCs w:val="36"/>
          <w:lang w:eastAsia="zh-CN"/>
        </w:rPr>
      </w:pP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0"/>
        <w:rPr>
          <w:rFonts w:hint="eastAsia" w:ascii="仿宋" w:hAnsi="仿宋" w:eastAsia="仿宋" w:cs="仿宋"/>
          <w:b/>
          <w:bCs/>
          <w:spacing w:val="6"/>
          <w:sz w:val="36"/>
          <w:szCs w:val="36"/>
          <w:lang w:eastAsia="zh-CN"/>
        </w:rPr>
      </w:pP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0"/>
        <w:rPr>
          <w:rFonts w:hint="eastAsia" w:ascii="仿宋" w:hAnsi="仿宋" w:eastAsia="仿宋" w:cs="仿宋"/>
          <w:b/>
          <w:bCs/>
          <w:spacing w:val="6"/>
          <w:sz w:val="36"/>
          <w:szCs w:val="36"/>
          <w:lang w:eastAsia="zh-CN"/>
        </w:rPr>
      </w:pP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0"/>
        <w:rPr>
          <w:rFonts w:hint="eastAsia" w:ascii="仿宋" w:hAnsi="仿宋" w:eastAsia="仿宋" w:cs="仿宋"/>
          <w:b/>
          <w:bCs/>
          <w:spacing w:val="6"/>
          <w:sz w:val="36"/>
          <w:szCs w:val="36"/>
          <w:lang w:eastAsia="zh-CN"/>
        </w:rPr>
      </w:pP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0"/>
        <w:rPr>
          <w:rFonts w:hint="eastAsia" w:ascii="仿宋" w:hAnsi="仿宋" w:eastAsia="仿宋" w:cs="仿宋"/>
          <w:b/>
          <w:bCs/>
          <w:spacing w:val="6"/>
          <w:sz w:val="36"/>
          <w:szCs w:val="36"/>
          <w:lang w:eastAsia="zh-CN"/>
        </w:rPr>
      </w:pP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0"/>
        <w:rPr>
          <w:rFonts w:hint="eastAsia" w:ascii="仿宋" w:hAnsi="仿宋" w:eastAsia="仿宋" w:cs="仿宋"/>
          <w:b/>
          <w:bCs/>
          <w:spacing w:val="6"/>
          <w:sz w:val="36"/>
          <w:szCs w:val="36"/>
          <w:lang w:eastAsia="zh-CN"/>
        </w:rPr>
      </w:pP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0"/>
        <w:rPr>
          <w:rFonts w:hint="eastAsia" w:ascii="仿宋" w:hAnsi="仿宋" w:eastAsia="仿宋" w:cs="仿宋"/>
          <w:b/>
          <w:bCs/>
          <w:spacing w:val="6"/>
          <w:sz w:val="36"/>
          <w:szCs w:val="36"/>
          <w:lang w:eastAsia="zh-CN"/>
        </w:rPr>
      </w:pPr>
      <w:r>
        <w:rPr>
          <w:rFonts w:hint="eastAsia" w:ascii="仿宋" w:hAnsi="仿宋" w:eastAsia="仿宋" w:cs="仿宋"/>
          <w:b/>
          <w:bCs/>
          <w:spacing w:val="6"/>
          <w:sz w:val="36"/>
          <w:szCs w:val="36"/>
          <w:lang w:eastAsia="zh-CN"/>
        </w:rPr>
        <w:t>十六、附表、附图和附件</w:t>
      </w:r>
      <w:bookmarkEnd w:id="66"/>
    </w:p>
    <w:p>
      <w:pPr>
        <w:pStyle w:val="24"/>
        <w:keepNext w:val="0"/>
        <w:keepLines w:val="0"/>
        <w:pageBreakBefore w:val="0"/>
        <w:widowControl w:val="0"/>
        <w:kinsoku/>
        <w:wordWrap/>
        <w:overflowPunct/>
        <w:topLinePunct w:val="0"/>
        <w:autoSpaceDE/>
        <w:autoSpaceDN/>
        <w:bidi w:val="0"/>
        <w:adjustRightInd/>
        <w:snapToGrid/>
        <w:spacing w:line="570" w:lineRule="exact"/>
        <w:ind w:firstLine="664"/>
        <w:jc w:val="left"/>
        <w:textAlignment w:val="auto"/>
        <w:outlineLvl w:val="0"/>
        <w:rPr>
          <w:rFonts w:hint="eastAsia" w:ascii="仿宋" w:hAnsi="仿宋" w:eastAsia="仿宋" w:cs="仿宋"/>
          <w:spacing w:val="6"/>
          <w:sz w:val="32"/>
          <w:szCs w:val="32"/>
        </w:rPr>
      </w:pPr>
      <w:bookmarkStart w:id="67" w:name="_Toc17805"/>
      <w:r>
        <w:rPr>
          <w:rFonts w:hint="eastAsia" w:ascii="仿宋" w:hAnsi="仿宋" w:eastAsia="仿宋" w:cs="仿宋"/>
          <w:spacing w:val="6"/>
          <w:sz w:val="32"/>
          <w:szCs w:val="32"/>
          <w:lang w:eastAsia="zh-CN"/>
        </w:rPr>
        <w:t>附件</w:t>
      </w:r>
      <w:r>
        <w:rPr>
          <w:rFonts w:hint="eastAsia" w:ascii="仿宋" w:hAnsi="仿宋" w:eastAsia="仿宋" w:cs="仿宋"/>
          <w:spacing w:val="6"/>
          <w:sz w:val="32"/>
          <w:szCs w:val="32"/>
          <w:lang w:val="en-US" w:eastAsia="zh-CN"/>
        </w:rPr>
        <w:t>1</w:t>
      </w:r>
      <w:r>
        <w:rPr>
          <w:rFonts w:hint="eastAsia" w:ascii="仿宋" w:hAnsi="仿宋" w:eastAsia="仿宋" w:cs="仿宋"/>
          <w:spacing w:val="6"/>
          <w:sz w:val="32"/>
          <w:szCs w:val="32"/>
          <w:lang w:eastAsia="zh-CN"/>
        </w:rPr>
        <w:t>总概算（预算）表</w:t>
      </w:r>
      <w:bookmarkEnd w:id="67"/>
    </w:p>
    <w:tbl>
      <w:tblPr>
        <w:tblStyle w:val="13"/>
        <w:tblW w:w="0" w:type="auto"/>
        <w:tblInd w:w="0" w:type="dxa"/>
        <w:tblLayout w:type="fixed"/>
        <w:tblCellMar>
          <w:top w:w="0" w:type="dxa"/>
          <w:left w:w="108" w:type="dxa"/>
          <w:bottom w:w="0" w:type="dxa"/>
          <w:right w:w="108" w:type="dxa"/>
        </w:tblCellMar>
      </w:tblPr>
      <w:tblGrid>
        <w:gridCol w:w="377"/>
        <w:gridCol w:w="2156"/>
        <w:gridCol w:w="919"/>
        <w:gridCol w:w="468"/>
        <w:gridCol w:w="469"/>
        <w:gridCol w:w="938"/>
        <w:gridCol w:w="862"/>
        <w:gridCol w:w="863"/>
        <w:gridCol w:w="787"/>
        <w:gridCol w:w="919"/>
        <w:gridCol w:w="302"/>
      </w:tblGrid>
      <w:tr>
        <w:tblPrEx>
          <w:tblCellMar>
            <w:top w:w="0" w:type="dxa"/>
            <w:left w:w="108" w:type="dxa"/>
            <w:bottom w:w="0" w:type="dxa"/>
            <w:right w:w="108" w:type="dxa"/>
          </w:tblCellMar>
        </w:tblPrEx>
        <w:trPr>
          <w:trHeight w:val="379" w:hRule="atLeast"/>
        </w:trPr>
        <w:tc>
          <w:tcPr>
            <w:tcW w:w="9060" w:type="dxa"/>
            <w:gridSpan w:val="11"/>
            <w:tcBorders>
              <w:top w:val="nil"/>
              <w:left w:val="nil"/>
              <w:bottom w:val="nil"/>
              <w:right w:val="nil"/>
            </w:tcBorders>
            <w:noWrap/>
            <w:vAlign w:val="center"/>
          </w:tcPr>
          <w:p>
            <w:pPr>
              <w:widowControl/>
              <w:jc w:val="left"/>
            </w:pPr>
            <w:r>
              <w:rPr>
                <w:rFonts w:hint="eastAsia"/>
              </w:rPr>
              <w:t>附件</w:t>
            </w:r>
            <w:r>
              <w:t>1</w:t>
            </w:r>
          </w:p>
          <w:p>
            <w:pPr>
              <w:pStyle w:val="2"/>
            </w:pPr>
          </w:p>
        </w:tc>
      </w:tr>
      <w:tr>
        <w:tblPrEx>
          <w:tblCellMar>
            <w:top w:w="0" w:type="dxa"/>
            <w:left w:w="108" w:type="dxa"/>
            <w:bottom w:w="0" w:type="dxa"/>
            <w:right w:w="108" w:type="dxa"/>
          </w:tblCellMar>
        </w:tblPrEx>
        <w:trPr>
          <w:trHeight w:val="1140" w:hRule="atLeast"/>
        </w:trPr>
        <w:tc>
          <w:tcPr>
            <w:tcW w:w="9060" w:type="dxa"/>
            <w:gridSpan w:val="11"/>
            <w:tcBorders>
              <w:top w:val="nil"/>
              <w:left w:val="nil"/>
              <w:bottom w:val="single" w:color="auto" w:sz="8" w:space="0"/>
              <w:right w:val="nil"/>
            </w:tcBorders>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36"/>
                <w:szCs w:val="36"/>
              </w:rPr>
              <w:t>麦盖提县希依提墩乡、克孜勒阿瓦提乡村辅道建设2024年中央财政以工代赈项目</w:t>
            </w:r>
            <w:r>
              <w:rPr>
                <w:rFonts w:hint="eastAsia" w:ascii="方正小标宋_GBK" w:hAnsi="宋体" w:eastAsia="方正小标宋_GBK" w:cs="宋体"/>
                <w:color w:val="000000"/>
                <w:kern w:val="0"/>
                <w:sz w:val="36"/>
                <w:szCs w:val="36"/>
                <w:lang w:val="en-US" w:eastAsia="zh-CN"/>
              </w:rPr>
              <w:t xml:space="preserve"> </w:t>
            </w:r>
            <w:r>
              <w:rPr>
                <w:rFonts w:hint="eastAsia" w:ascii="方正小标宋_GBK" w:hAnsi="宋体" w:eastAsia="方正小标宋_GBK" w:cs="宋体"/>
                <w:color w:val="000000"/>
                <w:kern w:val="0"/>
                <w:sz w:val="36"/>
                <w:szCs w:val="36"/>
              </w:rPr>
              <w:t>投资概算（预算）表</w:t>
            </w:r>
          </w:p>
        </w:tc>
      </w:tr>
      <w:tr>
        <w:tblPrEx>
          <w:tblCellMar>
            <w:top w:w="0" w:type="dxa"/>
            <w:left w:w="108" w:type="dxa"/>
            <w:bottom w:w="0" w:type="dxa"/>
            <w:right w:w="108" w:type="dxa"/>
          </w:tblCellMar>
        </w:tblPrEx>
        <w:trPr>
          <w:trHeight w:val="439" w:hRule="atLeast"/>
        </w:trPr>
        <w:tc>
          <w:tcPr>
            <w:tcW w:w="377" w:type="dxa"/>
            <w:vMerge w:val="restart"/>
            <w:tcBorders>
              <w:top w:val="nil"/>
              <w:left w:val="single" w:color="auto" w:sz="8" w:space="0"/>
              <w:bottom w:val="nil"/>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序号</w:t>
            </w:r>
          </w:p>
        </w:tc>
        <w:tc>
          <w:tcPr>
            <w:tcW w:w="2156" w:type="dxa"/>
            <w:vMerge w:val="restart"/>
            <w:tcBorders>
              <w:top w:val="nil"/>
              <w:left w:val="single" w:color="auto" w:sz="4" w:space="0"/>
              <w:bottom w:val="nil"/>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工程或费用名称</w:t>
            </w:r>
          </w:p>
        </w:tc>
        <w:tc>
          <w:tcPr>
            <w:tcW w:w="3656" w:type="dxa"/>
            <w:gridSpan w:val="5"/>
            <w:tcBorders>
              <w:top w:val="single" w:color="auto" w:sz="8" w:space="0"/>
              <w:left w:val="nil"/>
              <w:bottom w:val="single" w:color="auto" w:sz="4" w:space="0"/>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概算（预算）投资（万元）</w:t>
            </w:r>
          </w:p>
        </w:tc>
        <w:tc>
          <w:tcPr>
            <w:tcW w:w="863" w:type="dxa"/>
            <w:vMerge w:val="restart"/>
            <w:tcBorders>
              <w:top w:val="nil"/>
              <w:left w:val="single" w:color="auto" w:sz="4" w:space="0"/>
              <w:bottom w:val="nil"/>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占总投资比例（</w:t>
            </w:r>
            <w:r>
              <w:rPr>
                <w:rFonts w:ascii="方正黑体_GBK" w:hAnsi="宋体" w:eastAsia="方正黑体_GBK" w:cs="宋体"/>
                <w:color w:val="000000"/>
                <w:kern w:val="0"/>
                <w:sz w:val="22"/>
                <w:szCs w:val="22"/>
              </w:rPr>
              <w:t>%</w:t>
            </w:r>
            <w:r>
              <w:rPr>
                <w:rFonts w:hint="eastAsia" w:ascii="方正黑体_GBK" w:hAnsi="宋体" w:eastAsia="方正黑体_GBK" w:cs="宋体"/>
                <w:color w:val="000000"/>
                <w:kern w:val="0"/>
                <w:sz w:val="22"/>
                <w:szCs w:val="22"/>
              </w:rPr>
              <w:t>）</w:t>
            </w:r>
          </w:p>
        </w:tc>
        <w:tc>
          <w:tcPr>
            <w:tcW w:w="787" w:type="dxa"/>
            <w:vMerge w:val="restart"/>
            <w:tcBorders>
              <w:top w:val="nil"/>
              <w:left w:val="single" w:color="auto" w:sz="4" w:space="0"/>
              <w:bottom w:val="nil"/>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其中：劳务报酬金额（万元）</w:t>
            </w:r>
          </w:p>
        </w:tc>
        <w:tc>
          <w:tcPr>
            <w:tcW w:w="919" w:type="dxa"/>
            <w:vMerge w:val="restart"/>
            <w:tcBorders>
              <w:top w:val="nil"/>
              <w:left w:val="single" w:color="auto" w:sz="4" w:space="0"/>
              <w:bottom w:val="nil"/>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劳务报酬占申报中央资金比例（</w:t>
            </w:r>
            <w:r>
              <w:rPr>
                <w:rFonts w:ascii="方正黑体_GBK" w:hAnsi="宋体" w:eastAsia="方正黑体_GBK" w:cs="宋体"/>
                <w:color w:val="000000"/>
                <w:kern w:val="0"/>
                <w:sz w:val="22"/>
                <w:szCs w:val="22"/>
              </w:rPr>
              <w:t>%</w:t>
            </w:r>
            <w:r>
              <w:rPr>
                <w:rFonts w:hint="eastAsia" w:ascii="方正黑体_GBK" w:hAnsi="宋体" w:eastAsia="方正黑体_GBK" w:cs="宋体"/>
                <w:color w:val="000000"/>
                <w:kern w:val="0"/>
                <w:sz w:val="22"/>
                <w:szCs w:val="22"/>
              </w:rPr>
              <w:t>）</w:t>
            </w:r>
          </w:p>
        </w:tc>
        <w:tc>
          <w:tcPr>
            <w:tcW w:w="302" w:type="dxa"/>
            <w:vMerge w:val="restart"/>
            <w:tcBorders>
              <w:top w:val="nil"/>
              <w:left w:val="single" w:color="auto" w:sz="4" w:space="0"/>
              <w:bottom w:val="nil"/>
              <w:right w:val="single" w:color="auto" w:sz="8" w:space="0"/>
            </w:tcBorders>
            <w:vAlign w:val="center"/>
          </w:tcPr>
          <w:p>
            <w:pPr>
              <w:widowControl/>
              <w:jc w:val="both"/>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备注</w:t>
            </w:r>
          </w:p>
        </w:tc>
      </w:tr>
      <w:tr>
        <w:tblPrEx>
          <w:tblCellMar>
            <w:top w:w="0" w:type="dxa"/>
            <w:left w:w="108" w:type="dxa"/>
            <w:bottom w:w="0" w:type="dxa"/>
            <w:right w:w="108" w:type="dxa"/>
          </w:tblCellMar>
        </w:tblPrEx>
        <w:trPr>
          <w:trHeight w:val="525" w:hRule="atLeast"/>
        </w:trPr>
        <w:tc>
          <w:tcPr>
            <w:tcW w:w="377" w:type="dxa"/>
            <w:vMerge w:val="continue"/>
            <w:tcBorders>
              <w:top w:val="nil"/>
              <w:left w:val="single" w:color="auto" w:sz="8" w:space="0"/>
              <w:bottom w:val="nil"/>
              <w:right w:val="single" w:color="auto" w:sz="4" w:space="0"/>
            </w:tcBorders>
            <w:vAlign w:val="center"/>
          </w:tcPr>
          <w:p>
            <w:pPr>
              <w:widowControl/>
              <w:jc w:val="left"/>
              <w:rPr>
                <w:rFonts w:ascii="方正黑体_GBK" w:hAnsi="宋体" w:eastAsia="方正黑体_GBK" w:cs="宋体"/>
                <w:color w:val="000000"/>
                <w:kern w:val="0"/>
                <w:sz w:val="24"/>
                <w:szCs w:val="24"/>
              </w:rPr>
            </w:pPr>
          </w:p>
        </w:tc>
        <w:tc>
          <w:tcPr>
            <w:tcW w:w="2156" w:type="dxa"/>
            <w:vMerge w:val="continue"/>
            <w:tcBorders>
              <w:top w:val="nil"/>
              <w:left w:val="single" w:color="auto" w:sz="4" w:space="0"/>
              <w:bottom w:val="nil"/>
              <w:right w:val="single" w:color="auto" w:sz="4" w:space="0"/>
            </w:tcBorders>
            <w:vAlign w:val="center"/>
          </w:tcPr>
          <w:p>
            <w:pPr>
              <w:widowControl/>
              <w:jc w:val="left"/>
              <w:rPr>
                <w:rFonts w:ascii="方正黑体_GBK" w:hAnsi="宋体" w:eastAsia="方正黑体_GBK" w:cs="宋体"/>
                <w:color w:val="000000"/>
                <w:kern w:val="0"/>
                <w:sz w:val="24"/>
                <w:szCs w:val="24"/>
              </w:rPr>
            </w:pPr>
          </w:p>
        </w:tc>
        <w:tc>
          <w:tcPr>
            <w:tcW w:w="919" w:type="dxa"/>
            <w:tcBorders>
              <w:top w:val="nil"/>
              <w:left w:val="nil"/>
              <w:bottom w:val="nil"/>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建筑工程</w:t>
            </w:r>
          </w:p>
        </w:tc>
        <w:tc>
          <w:tcPr>
            <w:tcW w:w="468" w:type="dxa"/>
            <w:tcBorders>
              <w:top w:val="nil"/>
              <w:left w:val="nil"/>
              <w:bottom w:val="nil"/>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安装工程</w:t>
            </w:r>
          </w:p>
        </w:tc>
        <w:tc>
          <w:tcPr>
            <w:tcW w:w="469" w:type="dxa"/>
            <w:tcBorders>
              <w:top w:val="nil"/>
              <w:left w:val="nil"/>
              <w:bottom w:val="nil"/>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设备购置</w:t>
            </w:r>
          </w:p>
        </w:tc>
        <w:tc>
          <w:tcPr>
            <w:tcW w:w="938" w:type="dxa"/>
            <w:tcBorders>
              <w:top w:val="nil"/>
              <w:left w:val="nil"/>
              <w:bottom w:val="nil"/>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其他费用</w:t>
            </w:r>
          </w:p>
        </w:tc>
        <w:tc>
          <w:tcPr>
            <w:tcW w:w="862" w:type="dxa"/>
            <w:tcBorders>
              <w:top w:val="nil"/>
              <w:left w:val="nil"/>
              <w:bottom w:val="nil"/>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合计</w:t>
            </w:r>
          </w:p>
        </w:tc>
        <w:tc>
          <w:tcPr>
            <w:tcW w:w="863" w:type="dxa"/>
            <w:vMerge w:val="continue"/>
            <w:tcBorders>
              <w:top w:val="nil"/>
              <w:left w:val="single" w:color="auto" w:sz="4" w:space="0"/>
              <w:bottom w:val="nil"/>
              <w:right w:val="single" w:color="auto" w:sz="4" w:space="0"/>
            </w:tcBorders>
            <w:vAlign w:val="center"/>
          </w:tcPr>
          <w:p>
            <w:pPr>
              <w:widowControl/>
              <w:jc w:val="left"/>
              <w:rPr>
                <w:rFonts w:ascii="方正黑体_GBK" w:hAnsi="宋体" w:eastAsia="方正黑体_GBK" w:cs="宋体"/>
                <w:color w:val="000000"/>
                <w:kern w:val="0"/>
                <w:sz w:val="24"/>
                <w:szCs w:val="24"/>
              </w:rPr>
            </w:pPr>
          </w:p>
        </w:tc>
        <w:tc>
          <w:tcPr>
            <w:tcW w:w="787" w:type="dxa"/>
            <w:vMerge w:val="continue"/>
            <w:tcBorders>
              <w:top w:val="nil"/>
              <w:left w:val="single" w:color="auto" w:sz="4" w:space="0"/>
              <w:bottom w:val="nil"/>
              <w:right w:val="single" w:color="auto" w:sz="4" w:space="0"/>
            </w:tcBorders>
            <w:vAlign w:val="center"/>
          </w:tcPr>
          <w:p>
            <w:pPr>
              <w:widowControl/>
              <w:jc w:val="left"/>
              <w:rPr>
                <w:rFonts w:ascii="方正黑体_GBK" w:hAnsi="宋体" w:eastAsia="方正黑体_GBK" w:cs="宋体"/>
                <w:color w:val="000000"/>
                <w:kern w:val="0"/>
                <w:sz w:val="24"/>
                <w:szCs w:val="24"/>
              </w:rPr>
            </w:pPr>
          </w:p>
        </w:tc>
        <w:tc>
          <w:tcPr>
            <w:tcW w:w="919" w:type="dxa"/>
            <w:vMerge w:val="continue"/>
            <w:tcBorders>
              <w:top w:val="nil"/>
              <w:left w:val="single" w:color="auto" w:sz="4" w:space="0"/>
              <w:bottom w:val="nil"/>
              <w:right w:val="single" w:color="auto" w:sz="4" w:space="0"/>
            </w:tcBorders>
            <w:vAlign w:val="center"/>
          </w:tcPr>
          <w:p>
            <w:pPr>
              <w:widowControl/>
              <w:jc w:val="left"/>
              <w:rPr>
                <w:rFonts w:ascii="方正黑体_GBK" w:hAnsi="宋体" w:eastAsia="方正黑体_GBK" w:cs="宋体"/>
                <w:color w:val="000000"/>
                <w:kern w:val="0"/>
                <w:sz w:val="24"/>
                <w:szCs w:val="24"/>
              </w:rPr>
            </w:pPr>
          </w:p>
        </w:tc>
        <w:tc>
          <w:tcPr>
            <w:tcW w:w="302" w:type="dxa"/>
            <w:vMerge w:val="continue"/>
            <w:tcBorders>
              <w:top w:val="nil"/>
              <w:left w:val="single" w:color="auto" w:sz="4" w:space="0"/>
              <w:bottom w:val="nil"/>
              <w:right w:val="single" w:color="auto" w:sz="8" w:space="0"/>
            </w:tcBorders>
            <w:vAlign w:val="center"/>
          </w:tcPr>
          <w:p>
            <w:pPr>
              <w:widowControl/>
              <w:jc w:val="left"/>
              <w:rPr>
                <w:rFonts w:ascii="方正黑体_GBK" w:hAnsi="宋体" w:eastAsia="方正黑体_GBK" w:cs="宋体"/>
                <w:color w:val="000000"/>
                <w:kern w:val="0"/>
                <w:sz w:val="24"/>
                <w:szCs w:val="24"/>
              </w:rPr>
            </w:pPr>
          </w:p>
        </w:tc>
      </w:tr>
      <w:tr>
        <w:tblPrEx>
          <w:tblCellMar>
            <w:top w:w="0" w:type="dxa"/>
            <w:left w:w="108" w:type="dxa"/>
            <w:bottom w:w="0" w:type="dxa"/>
            <w:right w:w="108" w:type="dxa"/>
          </w:tblCellMar>
        </w:tblPrEx>
        <w:trPr>
          <w:trHeight w:val="518" w:hRule="atLeast"/>
        </w:trPr>
        <w:tc>
          <w:tcPr>
            <w:tcW w:w="377"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21"/>
                <w:szCs w:val="21"/>
              </w:rPr>
            </w:pPr>
            <w:r>
              <w:rPr>
                <w:rFonts w:hint="eastAsia" w:ascii="方正仿宋_GBK" w:hAnsi="Times New Roman" w:eastAsia="方正仿宋_GBK"/>
                <w:b/>
                <w:bCs/>
                <w:color w:val="000000"/>
                <w:kern w:val="0"/>
                <w:sz w:val="21"/>
                <w:szCs w:val="21"/>
              </w:rPr>
              <w:t>一</w:t>
            </w:r>
          </w:p>
        </w:tc>
        <w:tc>
          <w:tcPr>
            <w:tcW w:w="2156"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b/>
                <w:bCs/>
                <w:color w:val="000000"/>
                <w:kern w:val="0"/>
                <w:sz w:val="21"/>
                <w:szCs w:val="21"/>
              </w:rPr>
            </w:pPr>
            <w:r>
              <w:rPr>
                <w:rFonts w:hint="eastAsia" w:ascii="方正仿宋_GBK" w:hAnsi="Times New Roman" w:eastAsia="方正仿宋_GBK"/>
                <w:b/>
                <w:bCs/>
                <w:color w:val="000000"/>
                <w:kern w:val="0"/>
                <w:sz w:val="22"/>
                <w:szCs w:val="22"/>
              </w:rPr>
              <w:t>建筑安装工程费</w:t>
            </w:r>
          </w:p>
        </w:tc>
        <w:tc>
          <w:tcPr>
            <w:tcW w:w="9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bCs/>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278.564</w:t>
            </w:r>
          </w:p>
        </w:tc>
        <w:tc>
          <w:tcPr>
            <w:tcW w:w="468"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b/>
                <w:bCs/>
                <w:color w:val="000000"/>
                <w:kern w:val="0"/>
                <w:sz w:val="18"/>
                <w:szCs w:val="18"/>
              </w:rPr>
            </w:pPr>
          </w:p>
        </w:tc>
        <w:tc>
          <w:tcPr>
            <w:tcW w:w="469"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b/>
                <w:bCs/>
                <w:color w:val="000000"/>
                <w:kern w:val="0"/>
                <w:sz w:val="18"/>
                <w:szCs w:val="18"/>
              </w:rPr>
            </w:pPr>
          </w:p>
        </w:tc>
        <w:tc>
          <w:tcPr>
            <w:tcW w:w="938"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b/>
                <w:bCs/>
                <w:color w:val="000000"/>
                <w:kern w:val="0"/>
                <w:sz w:val="18"/>
                <w:szCs w:val="18"/>
              </w:rPr>
            </w:pPr>
          </w:p>
        </w:tc>
        <w:tc>
          <w:tcPr>
            <w:tcW w:w="86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bCs/>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278.564</w:t>
            </w:r>
          </w:p>
        </w:tc>
        <w:tc>
          <w:tcPr>
            <w:tcW w:w="86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b w:val="0"/>
                <w:bCs w:val="0"/>
                <w:color w:val="000000"/>
                <w:kern w:val="0"/>
                <w:sz w:val="18"/>
                <w:szCs w:val="18"/>
              </w:rPr>
            </w:pPr>
            <w:r>
              <w:rPr>
                <w:rFonts w:hint="eastAsia" w:ascii="宋体" w:hAnsi="宋体" w:eastAsia="宋体" w:cs="宋体"/>
                <w:b/>
                <w:bCs/>
                <w:i w:val="0"/>
                <w:iCs w:val="0"/>
                <w:color w:val="000000"/>
                <w:kern w:val="0"/>
                <w:sz w:val="18"/>
                <w:szCs w:val="18"/>
                <w:u w:val="none"/>
                <w:lang w:val="en-US" w:eastAsia="zh-CN" w:bidi="ar"/>
              </w:rPr>
              <w:t>92.96%</w:t>
            </w:r>
          </w:p>
        </w:tc>
        <w:tc>
          <w:tcPr>
            <w:tcW w:w="78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val="0"/>
                <w:bCs w:val="0"/>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62</w:t>
            </w:r>
          </w:p>
        </w:tc>
        <w:tc>
          <w:tcPr>
            <w:tcW w:w="9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b w:val="0"/>
                <w:bCs w:val="0"/>
                <w:color w:val="000000"/>
                <w:kern w:val="0"/>
                <w:sz w:val="18"/>
                <w:szCs w:val="18"/>
              </w:rPr>
            </w:pPr>
            <w:r>
              <w:rPr>
                <w:rFonts w:hint="eastAsia" w:ascii="宋体" w:hAnsi="宋体" w:eastAsia="宋体" w:cs="宋体"/>
                <w:b/>
                <w:bCs/>
                <w:i w:val="0"/>
                <w:iCs w:val="0"/>
                <w:color w:val="000000"/>
                <w:kern w:val="0"/>
                <w:sz w:val="18"/>
                <w:szCs w:val="18"/>
                <w:u w:val="none"/>
                <w:lang w:val="en-US" w:eastAsia="zh-CN" w:bidi="ar"/>
              </w:rPr>
              <w:t>20.67%</w:t>
            </w:r>
          </w:p>
        </w:tc>
        <w:tc>
          <w:tcPr>
            <w:tcW w:w="302" w:type="dxa"/>
            <w:tcBorders>
              <w:top w:val="single" w:color="auto" w:sz="4" w:space="0"/>
              <w:left w:val="nil"/>
              <w:bottom w:val="single" w:color="auto" w:sz="4" w:space="0"/>
              <w:right w:val="single" w:color="auto" w:sz="8"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2156" w:type="dxa"/>
            <w:tcBorders>
              <w:top w:val="nil"/>
              <w:left w:val="nil"/>
              <w:bottom w:val="single" w:color="auto" w:sz="4" w:space="0"/>
              <w:right w:val="single" w:color="auto" w:sz="4" w:space="0"/>
            </w:tcBorders>
            <w:noWrap/>
            <w:vAlign w:val="center"/>
          </w:tcPr>
          <w:p>
            <w:pPr>
              <w:widowControl/>
              <w:jc w:val="both"/>
              <w:rPr>
                <w:rFonts w:hint="eastAsia" w:ascii="Times New Roman" w:hAnsi="Times New Roman" w:eastAsia="宋体"/>
                <w:color w:val="000000"/>
                <w:kern w:val="0"/>
                <w:sz w:val="21"/>
                <w:szCs w:val="21"/>
                <w:lang w:eastAsia="zh-CN"/>
              </w:rPr>
            </w:pPr>
            <w:r>
              <w:rPr>
                <w:rFonts w:hint="eastAsia" w:ascii="方正仿宋_GBK" w:hAnsi="Times New Roman" w:eastAsia="方正仿宋_GBK"/>
                <w:color w:val="000000"/>
                <w:kern w:val="0"/>
                <w:sz w:val="21"/>
                <w:szCs w:val="21"/>
                <w:lang w:eastAsia="zh-CN"/>
              </w:rPr>
              <w:t>路基工程</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25.906</w:t>
            </w:r>
          </w:p>
        </w:tc>
        <w:tc>
          <w:tcPr>
            <w:tcW w:w="46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25.906</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8.64%</w:t>
            </w:r>
          </w:p>
        </w:tc>
        <w:tc>
          <w:tcPr>
            <w:tcW w:w="78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5.00%</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2156" w:type="dxa"/>
            <w:tcBorders>
              <w:top w:val="nil"/>
              <w:left w:val="nil"/>
              <w:bottom w:val="single" w:color="auto" w:sz="4" w:space="0"/>
              <w:right w:val="single" w:color="auto" w:sz="4" w:space="0"/>
            </w:tcBorders>
            <w:noWrap/>
            <w:vAlign w:val="center"/>
          </w:tcPr>
          <w:p>
            <w:pPr>
              <w:widowControl/>
              <w:jc w:val="both"/>
              <w:rPr>
                <w:rFonts w:hint="eastAsia" w:ascii="Times New Roman" w:hAnsi="Times New Roman" w:eastAsia="宋体"/>
                <w:color w:val="000000"/>
                <w:kern w:val="0"/>
                <w:sz w:val="21"/>
                <w:szCs w:val="21"/>
                <w:lang w:eastAsia="zh-CN"/>
              </w:rPr>
            </w:pPr>
            <w:r>
              <w:rPr>
                <w:rFonts w:hint="eastAsia" w:ascii="方正仿宋_GBK" w:hAnsi="Times New Roman" w:eastAsia="方正仿宋_GBK"/>
                <w:color w:val="000000"/>
                <w:kern w:val="0"/>
                <w:sz w:val="21"/>
                <w:szCs w:val="21"/>
                <w:lang w:eastAsia="zh-CN"/>
              </w:rPr>
              <w:t>路面工程</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203.423</w:t>
            </w:r>
          </w:p>
        </w:tc>
        <w:tc>
          <w:tcPr>
            <w:tcW w:w="46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203.423</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67.88%</w:t>
            </w:r>
          </w:p>
        </w:tc>
        <w:tc>
          <w:tcPr>
            <w:tcW w:w="78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31</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rPr>
            </w:pPr>
            <w:r>
              <w:rPr>
                <w:rFonts w:hint="eastAsia" w:ascii="宋体" w:hAnsi="宋体" w:eastAsia="宋体" w:cs="宋体"/>
                <w:i w:val="0"/>
                <w:iCs w:val="0"/>
                <w:color w:val="000000"/>
                <w:kern w:val="0"/>
                <w:sz w:val="18"/>
                <w:szCs w:val="18"/>
                <w:u w:val="none"/>
                <w:lang w:val="en-US" w:eastAsia="zh-CN" w:bidi="ar"/>
              </w:rPr>
              <w:t>10.33%</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2156" w:type="dxa"/>
            <w:tcBorders>
              <w:top w:val="nil"/>
              <w:left w:val="nil"/>
              <w:bottom w:val="single" w:color="auto" w:sz="4" w:space="0"/>
              <w:right w:val="single" w:color="auto" w:sz="4" w:space="0"/>
            </w:tcBorders>
            <w:noWrap/>
            <w:vAlign w:val="center"/>
          </w:tcPr>
          <w:p>
            <w:pPr>
              <w:widowControl/>
              <w:jc w:val="both"/>
              <w:rPr>
                <w:rFonts w:hint="eastAsia" w:ascii="宋体" w:hAnsi="宋体" w:eastAsia="宋体" w:cs="宋体"/>
                <w:color w:val="000000"/>
                <w:kern w:val="0"/>
                <w:sz w:val="21"/>
                <w:szCs w:val="21"/>
                <w:lang w:eastAsia="zh-CN"/>
              </w:rPr>
            </w:pPr>
            <w:r>
              <w:rPr>
                <w:rFonts w:hint="eastAsia" w:ascii="方正仿宋_GBK" w:hAnsi="Times New Roman" w:eastAsia="方正仿宋_GBK"/>
                <w:color w:val="000000"/>
                <w:kern w:val="0"/>
                <w:sz w:val="21"/>
                <w:szCs w:val="21"/>
                <w:lang w:eastAsia="zh-CN"/>
              </w:rPr>
              <w:t>桥梁涵洞工程</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30.532</w:t>
            </w:r>
          </w:p>
        </w:tc>
        <w:tc>
          <w:tcPr>
            <w:tcW w:w="46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30.532</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10.19%</w:t>
            </w:r>
          </w:p>
        </w:tc>
        <w:tc>
          <w:tcPr>
            <w:tcW w:w="78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15</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5.00%</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2156" w:type="dxa"/>
            <w:tcBorders>
              <w:top w:val="nil"/>
              <w:left w:val="nil"/>
              <w:bottom w:val="single" w:color="auto" w:sz="4" w:space="0"/>
              <w:right w:val="single" w:color="auto" w:sz="4" w:space="0"/>
            </w:tcBorders>
            <w:noWrap/>
            <w:vAlign w:val="center"/>
          </w:tcPr>
          <w:p>
            <w:pPr>
              <w:widowControl/>
              <w:jc w:val="both"/>
              <w:rPr>
                <w:rFonts w:hint="eastAsia" w:ascii="宋体" w:hAnsi="宋体" w:eastAsia="宋体" w:cs="宋体"/>
                <w:color w:val="000000"/>
                <w:kern w:val="0"/>
                <w:sz w:val="21"/>
                <w:szCs w:val="21"/>
                <w:lang w:eastAsia="zh-CN"/>
              </w:rPr>
            </w:pPr>
            <w:r>
              <w:rPr>
                <w:rFonts w:hint="eastAsia" w:ascii="方正仿宋_GBK" w:hAnsi="Times New Roman" w:eastAsia="方正仿宋_GBK"/>
                <w:color w:val="000000"/>
                <w:kern w:val="0"/>
                <w:sz w:val="21"/>
                <w:szCs w:val="21"/>
                <w:lang w:eastAsia="zh-CN"/>
              </w:rPr>
              <w:t>交叉工程</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3.552</w:t>
            </w:r>
          </w:p>
        </w:tc>
        <w:tc>
          <w:tcPr>
            <w:tcW w:w="46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3.552</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1.19%</w:t>
            </w:r>
          </w:p>
        </w:tc>
        <w:tc>
          <w:tcPr>
            <w:tcW w:w="787"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1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2156" w:type="dxa"/>
            <w:tcBorders>
              <w:top w:val="nil"/>
              <w:left w:val="nil"/>
              <w:bottom w:val="single" w:color="auto" w:sz="4" w:space="0"/>
              <w:right w:val="single" w:color="auto" w:sz="4" w:space="0"/>
            </w:tcBorders>
            <w:noWrap/>
            <w:vAlign w:val="center"/>
          </w:tcPr>
          <w:p>
            <w:pPr>
              <w:widowControl/>
              <w:jc w:val="both"/>
              <w:rPr>
                <w:rFonts w:ascii="Times New Roman" w:hAnsi="Times New Roman" w:eastAsia="宋体"/>
                <w:color w:val="000000"/>
                <w:kern w:val="0"/>
                <w:sz w:val="21"/>
                <w:szCs w:val="21"/>
              </w:rPr>
            </w:pPr>
            <w:r>
              <w:rPr>
                <w:rFonts w:hint="eastAsia" w:ascii="方正仿宋_GBK" w:hAnsi="Times New Roman" w:eastAsia="方正仿宋_GBK"/>
                <w:color w:val="000000"/>
                <w:kern w:val="0"/>
                <w:sz w:val="21"/>
                <w:szCs w:val="21"/>
                <w:lang w:eastAsia="zh-CN"/>
              </w:rPr>
              <w:t>交通工程及沿线设施</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4.955</w:t>
            </w:r>
          </w:p>
        </w:tc>
        <w:tc>
          <w:tcPr>
            <w:tcW w:w="46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4.955</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1.65%</w:t>
            </w:r>
          </w:p>
        </w:tc>
        <w:tc>
          <w:tcPr>
            <w:tcW w:w="78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0.33%</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34"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w:t>
            </w:r>
          </w:p>
        </w:tc>
        <w:tc>
          <w:tcPr>
            <w:tcW w:w="2156" w:type="dxa"/>
            <w:tcBorders>
              <w:top w:val="nil"/>
              <w:left w:val="nil"/>
              <w:bottom w:val="single" w:color="auto" w:sz="4" w:space="0"/>
              <w:right w:val="single" w:color="auto" w:sz="4" w:space="0"/>
            </w:tcBorders>
            <w:noWrap/>
            <w:vAlign w:val="center"/>
          </w:tcPr>
          <w:p>
            <w:pPr>
              <w:widowControl/>
              <w:jc w:val="both"/>
              <w:rPr>
                <w:rFonts w:hint="eastAsia" w:ascii="宋体" w:hAnsi="宋体" w:eastAsia="宋体" w:cs="宋体"/>
                <w:color w:val="000000"/>
                <w:kern w:val="0"/>
                <w:sz w:val="21"/>
                <w:szCs w:val="21"/>
                <w:lang w:eastAsia="zh-CN"/>
              </w:rPr>
            </w:pPr>
            <w:r>
              <w:rPr>
                <w:rFonts w:hint="eastAsia" w:ascii="方正仿宋_GBK" w:hAnsi="Times New Roman" w:eastAsia="方正仿宋_GBK"/>
                <w:color w:val="000000"/>
                <w:kern w:val="0"/>
                <w:sz w:val="21"/>
                <w:szCs w:val="21"/>
                <w:lang w:eastAsia="zh-CN"/>
              </w:rPr>
              <w:t>专项费用</w:t>
            </w:r>
          </w:p>
        </w:tc>
        <w:tc>
          <w:tcPr>
            <w:tcW w:w="919" w:type="dxa"/>
            <w:tcBorders>
              <w:top w:val="nil"/>
              <w:left w:val="nil"/>
              <w:bottom w:val="single" w:color="auto" w:sz="4" w:space="0"/>
              <w:right w:val="nil"/>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10.196</w:t>
            </w:r>
          </w:p>
        </w:tc>
        <w:tc>
          <w:tcPr>
            <w:tcW w:w="468"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10.196</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3.40%</w:t>
            </w:r>
          </w:p>
        </w:tc>
        <w:tc>
          <w:tcPr>
            <w:tcW w:w="787"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2156"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46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93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86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86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2"/>
              </w:rPr>
            </w:pPr>
          </w:p>
        </w:tc>
        <w:tc>
          <w:tcPr>
            <w:tcW w:w="2156"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宋体"/>
                <w:color w:val="000000"/>
                <w:kern w:val="0"/>
                <w:sz w:val="22"/>
              </w:rPr>
            </w:pP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468"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46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93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862"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863"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787"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91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302" w:type="dxa"/>
            <w:tcBorders>
              <w:top w:val="nil"/>
              <w:left w:val="nil"/>
              <w:bottom w:val="single" w:color="auto" w:sz="4" w:space="0"/>
              <w:right w:val="single" w:color="auto" w:sz="8" w:space="0"/>
            </w:tcBorders>
            <w:noWrap/>
            <w:vAlign w:val="center"/>
          </w:tcPr>
          <w:p>
            <w:pPr>
              <w:widowControl/>
              <w:jc w:val="center"/>
              <w:rPr>
                <w:rFonts w:hint="eastAsia" w:ascii="Times New Roman" w:hAnsi="Times New Roman" w:eastAsia="宋体"/>
                <w:color w:val="000000"/>
                <w:kern w:val="0"/>
                <w:sz w:val="20"/>
                <w:szCs w:val="20"/>
              </w:rPr>
            </w:pP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22"/>
              </w:rPr>
            </w:pPr>
            <w:r>
              <w:rPr>
                <w:rFonts w:hint="eastAsia" w:ascii="方正仿宋_GBK" w:hAnsi="Times New Roman" w:eastAsia="方正仿宋_GBK"/>
                <w:b/>
                <w:bCs/>
                <w:color w:val="000000"/>
                <w:kern w:val="0"/>
                <w:sz w:val="22"/>
              </w:rPr>
              <w:t>二</w:t>
            </w:r>
          </w:p>
        </w:tc>
        <w:tc>
          <w:tcPr>
            <w:tcW w:w="2156"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b/>
                <w:bCs/>
                <w:color w:val="000000"/>
                <w:kern w:val="0"/>
                <w:sz w:val="22"/>
              </w:rPr>
            </w:pPr>
            <w:r>
              <w:rPr>
                <w:rFonts w:hint="eastAsia" w:ascii="方正仿宋_GBK" w:hAnsi="Times New Roman" w:eastAsia="方正仿宋_GBK"/>
                <w:b/>
                <w:bCs/>
                <w:color w:val="000000"/>
                <w:kern w:val="0"/>
                <w:sz w:val="22"/>
              </w:rPr>
              <w:t>工程建设其他费用</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46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938" w:type="dxa"/>
            <w:tcBorders>
              <w:top w:val="nil"/>
              <w:left w:val="nil"/>
              <w:bottom w:val="single" w:color="auto" w:sz="4" w:space="0"/>
              <w:right w:val="single" w:color="auto" w:sz="4" w:space="0"/>
            </w:tcBorders>
            <w:noWrap/>
            <w:vAlign w:val="center"/>
          </w:tcPr>
          <w:p>
            <w:pPr>
              <w:rPr>
                <w:rFonts w:ascii="Times New Roman" w:hAnsi="Times New Roman" w:eastAsia="宋体"/>
                <w:b/>
                <w:bCs/>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bCs/>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12.201</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bCs/>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4.07%</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1</w:t>
            </w:r>
          </w:p>
        </w:tc>
        <w:tc>
          <w:tcPr>
            <w:tcW w:w="2156" w:type="dxa"/>
            <w:tcBorders>
              <w:top w:val="nil"/>
              <w:left w:val="nil"/>
              <w:bottom w:val="single" w:color="auto" w:sz="4" w:space="0"/>
              <w:right w:val="single" w:color="auto" w:sz="4" w:space="0"/>
            </w:tcBorders>
            <w:noWrap/>
            <w:vAlign w:val="center"/>
          </w:tcPr>
          <w:p>
            <w:pPr>
              <w:widowControl/>
              <w:jc w:val="center"/>
              <w:rPr>
                <w:rFonts w:hint="eastAsia" w:ascii="方正仿宋_GBK" w:hAnsi="Times New Roman" w:eastAsia="方正仿宋_GBK"/>
                <w:color w:val="000000"/>
                <w:kern w:val="0"/>
                <w:sz w:val="21"/>
                <w:szCs w:val="21"/>
                <w:lang w:eastAsia="zh-CN"/>
              </w:rPr>
            </w:pPr>
            <w:r>
              <w:rPr>
                <w:rFonts w:hint="eastAsia" w:ascii="方正仿宋_GBK" w:hAnsi="Times New Roman" w:eastAsia="方正仿宋_GBK"/>
                <w:color w:val="000000"/>
                <w:kern w:val="0"/>
                <w:sz w:val="21"/>
                <w:szCs w:val="21"/>
                <w:lang w:eastAsia="zh-CN"/>
              </w:rPr>
              <w:t>建设项目管理费</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46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3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8.196</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8.196</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2.74%</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2</w:t>
            </w:r>
          </w:p>
        </w:tc>
        <w:tc>
          <w:tcPr>
            <w:tcW w:w="2156" w:type="dxa"/>
            <w:tcBorders>
              <w:top w:val="nil"/>
              <w:left w:val="nil"/>
              <w:bottom w:val="single" w:color="auto" w:sz="4" w:space="0"/>
              <w:right w:val="single" w:color="auto" w:sz="4" w:space="0"/>
            </w:tcBorders>
            <w:noWrap/>
            <w:vAlign w:val="center"/>
          </w:tcPr>
          <w:p>
            <w:pPr>
              <w:widowControl/>
              <w:ind w:firstLine="630" w:firstLineChars="300"/>
              <w:jc w:val="both"/>
              <w:rPr>
                <w:rFonts w:hint="eastAsia" w:ascii="方正仿宋_GBK" w:hAnsi="Times New Roman" w:eastAsia="方正仿宋_GBK"/>
                <w:color w:val="000000"/>
                <w:kern w:val="0"/>
                <w:sz w:val="21"/>
                <w:szCs w:val="21"/>
                <w:lang w:eastAsia="zh-CN"/>
              </w:rPr>
            </w:pPr>
            <w:r>
              <w:rPr>
                <w:rFonts w:hint="eastAsia" w:ascii="方正仿宋_GBK" w:hAnsi="Times New Roman" w:eastAsia="方正仿宋_GBK"/>
                <w:color w:val="000000"/>
                <w:kern w:val="0"/>
                <w:sz w:val="21"/>
                <w:szCs w:val="21"/>
                <w:lang w:eastAsia="zh-CN"/>
              </w:rPr>
              <w:t>监理费</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46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3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4.005</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4.005</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1.34</w:t>
            </w:r>
            <w:bookmarkStart w:id="68" w:name="_GoBack"/>
            <w:bookmarkEnd w:id="68"/>
            <w:r>
              <w:rPr>
                <w:rFonts w:hint="eastAsia" w:ascii="宋体" w:hAnsi="宋体" w:eastAsia="宋体" w:cs="宋体"/>
                <w:i w:val="0"/>
                <w:iCs w:val="0"/>
                <w:color w:val="000000"/>
                <w:kern w:val="0"/>
                <w:sz w:val="18"/>
                <w:szCs w:val="18"/>
                <w:u w:val="none"/>
                <w:lang w:val="en-US" w:eastAsia="zh-CN" w:bidi="ar"/>
              </w:rPr>
              <w:t>%</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2156"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46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3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86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86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2"/>
              </w:rPr>
            </w:pPr>
          </w:p>
        </w:tc>
        <w:tc>
          <w:tcPr>
            <w:tcW w:w="2156"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宋体"/>
                <w:color w:val="000000"/>
                <w:kern w:val="0"/>
                <w:sz w:val="22"/>
              </w:rPr>
            </w:pPr>
          </w:p>
        </w:tc>
        <w:tc>
          <w:tcPr>
            <w:tcW w:w="91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46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863"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787"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91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302" w:type="dxa"/>
            <w:tcBorders>
              <w:top w:val="nil"/>
              <w:left w:val="nil"/>
              <w:bottom w:val="single" w:color="auto" w:sz="4" w:space="0"/>
              <w:right w:val="single" w:color="auto" w:sz="8" w:space="0"/>
            </w:tcBorders>
            <w:noWrap/>
            <w:vAlign w:val="center"/>
          </w:tcPr>
          <w:p>
            <w:pPr>
              <w:widowControl/>
              <w:jc w:val="center"/>
              <w:rPr>
                <w:rFonts w:hint="eastAsia" w:ascii="Times New Roman" w:hAnsi="Times New Roman" w:eastAsia="宋体"/>
                <w:color w:val="000000"/>
                <w:kern w:val="0"/>
                <w:sz w:val="20"/>
                <w:szCs w:val="20"/>
              </w:rPr>
            </w:pP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22"/>
              </w:rPr>
            </w:pPr>
            <w:r>
              <w:rPr>
                <w:rFonts w:hint="eastAsia" w:ascii="方正仿宋_GBK" w:hAnsi="Times New Roman" w:eastAsia="方正仿宋_GBK"/>
                <w:b/>
                <w:bCs/>
                <w:color w:val="000000"/>
                <w:kern w:val="0"/>
                <w:sz w:val="22"/>
              </w:rPr>
              <w:t>三</w:t>
            </w:r>
          </w:p>
        </w:tc>
        <w:tc>
          <w:tcPr>
            <w:tcW w:w="2156"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b/>
                <w:bCs/>
                <w:color w:val="000000"/>
                <w:kern w:val="0"/>
                <w:sz w:val="22"/>
              </w:rPr>
            </w:pPr>
            <w:r>
              <w:rPr>
                <w:rFonts w:hint="eastAsia" w:ascii="方正仿宋_GBK" w:hAnsi="Times New Roman" w:eastAsia="方正仿宋_GBK"/>
                <w:b/>
                <w:bCs/>
                <w:color w:val="000000"/>
                <w:kern w:val="0"/>
                <w:sz w:val="22"/>
              </w:rPr>
              <w:t>基本预备费</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46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93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val="0"/>
                <w:bCs w:val="0"/>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8.902</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val="0"/>
                <w:bCs w:val="0"/>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8.902</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bCs/>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2.97%</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2156"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46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93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86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86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2"/>
              </w:rPr>
            </w:pPr>
          </w:p>
        </w:tc>
        <w:tc>
          <w:tcPr>
            <w:tcW w:w="2156"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宋体"/>
                <w:color w:val="000000"/>
                <w:kern w:val="0"/>
                <w:sz w:val="22"/>
              </w:rPr>
            </w:pPr>
          </w:p>
        </w:tc>
        <w:tc>
          <w:tcPr>
            <w:tcW w:w="91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46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46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93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862"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863"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787"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91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302" w:type="dxa"/>
            <w:tcBorders>
              <w:top w:val="nil"/>
              <w:left w:val="nil"/>
              <w:bottom w:val="single" w:color="auto" w:sz="4" w:space="0"/>
              <w:right w:val="single" w:color="auto" w:sz="8" w:space="0"/>
            </w:tcBorders>
            <w:noWrap/>
            <w:vAlign w:val="center"/>
          </w:tcPr>
          <w:p>
            <w:pPr>
              <w:widowControl/>
              <w:jc w:val="center"/>
              <w:rPr>
                <w:rFonts w:hint="eastAsia" w:ascii="Times New Roman" w:hAnsi="Times New Roman" w:eastAsia="宋体"/>
                <w:color w:val="000000"/>
                <w:kern w:val="0"/>
                <w:sz w:val="20"/>
                <w:szCs w:val="20"/>
              </w:rPr>
            </w:pPr>
          </w:p>
        </w:tc>
      </w:tr>
      <w:tr>
        <w:tblPrEx>
          <w:tblCellMar>
            <w:top w:w="0" w:type="dxa"/>
            <w:left w:w="108" w:type="dxa"/>
            <w:bottom w:w="0" w:type="dxa"/>
            <w:right w:w="108" w:type="dxa"/>
          </w:tblCellMar>
        </w:tblPrEx>
        <w:trPr>
          <w:trHeight w:val="439" w:hRule="atLeast"/>
        </w:trPr>
        <w:tc>
          <w:tcPr>
            <w:tcW w:w="2533" w:type="dxa"/>
            <w:gridSpan w:val="2"/>
            <w:tcBorders>
              <w:top w:val="single" w:color="auto" w:sz="4" w:space="0"/>
              <w:left w:val="single" w:color="auto" w:sz="8" w:space="0"/>
              <w:bottom w:val="single" w:color="auto" w:sz="8" w:space="0"/>
              <w:right w:val="single" w:color="auto" w:sz="4" w:space="0"/>
            </w:tcBorders>
            <w:noWrap/>
            <w:vAlign w:val="center"/>
          </w:tcPr>
          <w:p>
            <w:pPr>
              <w:widowControl/>
              <w:jc w:val="center"/>
              <w:rPr>
                <w:rFonts w:ascii="Times New Roman" w:hAnsi="Times New Roman" w:eastAsia="宋体"/>
                <w:b/>
                <w:bCs/>
                <w:color w:val="000000"/>
                <w:kern w:val="0"/>
                <w:sz w:val="22"/>
              </w:rPr>
            </w:pPr>
            <w:r>
              <w:rPr>
                <w:rFonts w:hint="eastAsia" w:ascii="方正仿宋_GBK" w:hAnsi="Times New Roman" w:eastAsia="方正仿宋_GBK"/>
                <w:b/>
                <w:bCs/>
                <w:color w:val="000000"/>
                <w:kern w:val="0"/>
                <w:sz w:val="22"/>
              </w:rPr>
              <w:t>项目总投资（一</w:t>
            </w:r>
            <w:r>
              <w:rPr>
                <w:rFonts w:ascii="Times New Roman" w:hAnsi="Times New Roman" w:eastAsia="宋体"/>
                <w:b/>
                <w:bCs/>
                <w:color w:val="000000"/>
                <w:kern w:val="0"/>
                <w:sz w:val="22"/>
              </w:rPr>
              <w:t>+</w:t>
            </w:r>
            <w:r>
              <w:rPr>
                <w:rFonts w:hint="eastAsia" w:ascii="方正仿宋_GBK" w:hAnsi="Times New Roman" w:eastAsia="方正仿宋_GBK"/>
                <w:b/>
                <w:bCs/>
                <w:color w:val="000000"/>
                <w:kern w:val="0"/>
                <w:sz w:val="22"/>
              </w:rPr>
              <w:t>二</w:t>
            </w:r>
            <w:r>
              <w:rPr>
                <w:rFonts w:ascii="Times New Roman" w:hAnsi="Times New Roman" w:eastAsia="宋体"/>
                <w:b/>
                <w:bCs/>
                <w:color w:val="000000"/>
                <w:kern w:val="0"/>
                <w:sz w:val="22"/>
              </w:rPr>
              <w:t>+</w:t>
            </w:r>
            <w:r>
              <w:rPr>
                <w:rFonts w:hint="eastAsia" w:ascii="方正仿宋_GBK" w:hAnsi="Times New Roman" w:eastAsia="方正仿宋_GBK"/>
                <w:b/>
                <w:bCs/>
                <w:color w:val="000000"/>
                <w:kern w:val="0"/>
                <w:sz w:val="22"/>
              </w:rPr>
              <w:t>三）</w:t>
            </w:r>
          </w:p>
        </w:tc>
        <w:tc>
          <w:tcPr>
            <w:tcW w:w="919" w:type="dxa"/>
            <w:tcBorders>
              <w:top w:val="nil"/>
              <w:left w:val="nil"/>
              <w:bottom w:val="single" w:color="auto" w:sz="8"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b/>
                <w:bCs/>
                <w:color w:val="000000"/>
                <w:kern w:val="0"/>
                <w:sz w:val="22"/>
              </w:rPr>
            </w:pPr>
            <w:r>
              <w:rPr>
                <w:rFonts w:hint="eastAsia" w:ascii="宋体" w:hAnsi="宋体" w:eastAsia="宋体" w:cs="宋体"/>
                <w:b/>
                <w:bCs/>
                <w:i w:val="0"/>
                <w:iCs w:val="0"/>
                <w:color w:val="000000"/>
                <w:kern w:val="0"/>
                <w:sz w:val="18"/>
                <w:szCs w:val="18"/>
                <w:u w:val="none"/>
                <w:lang w:val="en-US" w:eastAsia="zh-CN" w:bidi="ar"/>
              </w:rPr>
              <w:t>299.667</w:t>
            </w:r>
          </w:p>
        </w:tc>
        <w:tc>
          <w:tcPr>
            <w:tcW w:w="468" w:type="dxa"/>
            <w:tcBorders>
              <w:top w:val="nil"/>
              <w:left w:val="nil"/>
              <w:bottom w:val="single" w:color="auto" w:sz="8" w:space="0"/>
              <w:right w:val="single" w:color="auto" w:sz="4" w:space="0"/>
            </w:tcBorders>
            <w:noWrap/>
            <w:vAlign w:val="center"/>
          </w:tcPr>
          <w:p>
            <w:pPr>
              <w:jc w:val="center"/>
              <w:rPr>
                <w:rFonts w:ascii="Times New Roman" w:hAnsi="Times New Roman" w:eastAsia="宋体"/>
                <w:b/>
                <w:bCs/>
                <w:color w:val="000000"/>
                <w:kern w:val="0"/>
                <w:sz w:val="22"/>
              </w:rPr>
            </w:pPr>
          </w:p>
        </w:tc>
        <w:tc>
          <w:tcPr>
            <w:tcW w:w="469" w:type="dxa"/>
            <w:tcBorders>
              <w:top w:val="nil"/>
              <w:left w:val="nil"/>
              <w:bottom w:val="single" w:color="auto" w:sz="8" w:space="0"/>
              <w:right w:val="single" w:color="auto" w:sz="4" w:space="0"/>
            </w:tcBorders>
            <w:noWrap/>
            <w:vAlign w:val="center"/>
          </w:tcPr>
          <w:p>
            <w:pPr>
              <w:jc w:val="center"/>
              <w:rPr>
                <w:rFonts w:ascii="Times New Roman" w:hAnsi="Times New Roman" w:eastAsia="宋体"/>
                <w:b/>
                <w:bCs/>
                <w:color w:val="000000"/>
                <w:kern w:val="0"/>
                <w:sz w:val="22"/>
              </w:rPr>
            </w:pPr>
          </w:p>
        </w:tc>
        <w:tc>
          <w:tcPr>
            <w:tcW w:w="938" w:type="dxa"/>
            <w:tcBorders>
              <w:top w:val="nil"/>
              <w:left w:val="nil"/>
              <w:bottom w:val="single" w:color="auto" w:sz="8" w:space="0"/>
              <w:right w:val="single" w:color="auto" w:sz="4" w:space="0"/>
            </w:tcBorders>
            <w:noWrap/>
            <w:vAlign w:val="center"/>
          </w:tcPr>
          <w:p>
            <w:pPr>
              <w:jc w:val="center"/>
              <w:rPr>
                <w:rFonts w:ascii="Times New Roman" w:hAnsi="Times New Roman" w:eastAsia="宋体"/>
                <w:b/>
                <w:bCs/>
                <w:color w:val="000000"/>
                <w:kern w:val="0"/>
                <w:sz w:val="22"/>
              </w:rPr>
            </w:pPr>
          </w:p>
        </w:tc>
        <w:tc>
          <w:tcPr>
            <w:tcW w:w="862" w:type="dxa"/>
            <w:tcBorders>
              <w:top w:val="nil"/>
              <w:left w:val="nil"/>
              <w:bottom w:val="single" w:color="auto" w:sz="8" w:space="0"/>
              <w:right w:val="single" w:color="auto" w:sz="4" w:space="0"/>
            </w:tcBorders>
            <w:noWrap/>
            <w:vAlign w:val="center"/>
          </w:tcPr>
          <w:p>
            <w:pPr>
              <w:jc w:val="center"/>
              <w:rPr>
                <w:rFonts w:ascii="Times New Roman" w:hAnsi="Times New Roman" w:eastAsia="宋体"/>
                <w:b/>
                <w:bCs/>
                <w:color w:val="000000"/>
                <w:kern w:val="0"/>
                <w:sz w:val="18"/>
                <w:szCs w:val="18"/>
              </w:rPr>
            </w:pPr>
          </w:p>
        </w:tc>
        <w:tc>
          <w:tcPr>
            <w:tcW w:w="863" w:type="dxa"/>
            <w:tcBorders>
              <w:top w:val="nil"/>
              <w:left w:val="nil"/>
              <w:bottom w:val="single" w:color="auto" w:sz="8"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b/>
                <w:bCs/>
                <w:color w:val="000000"/>
                <w:kern w:val="0"/>
                <w:sz w:val="18"/>
                <w:szCs w:val="18"/>
              </w:rPr>
            </w:pPr>
            <w:r>
              <w:rPr>
                <w:rFonts w:hint="eastAsia" w:ascii="宋体" w:hAnsi="宋体" w:eastAsia="宋体" w:cs="宋体"/>
                <w:b/>
                <w:bCs/>
                <w:i w:val="0"/>
                <w:iCs w:val="0"/>
                <w:color w:val="000000"/>
                <w:kern w:val="0"/>
                <w:sz w:val="18"/>
                <w:szCs w:val="18"/>
                <w:u w:val="none"/>
                <w:lang w:val="en-US" w:eastAsia="zh-CN" w:bidi="ar"/>
              </w:rPr>
              <w:t>100.00%</w:t>
            </w:r>
          </w:p>
        </w:tc>
        <w:tc>
          <w:tcPr>
            <w:tcW w:w="787" w:type="dxa"/>
            <w:tcBorders>
              <w:top w:val="nil"/>
              <w:left w:val="nil"/>
              <w:bottom w:val="single" w:color="auto" w:sz="8"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bCs/>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62</w:t>
            </w:r>
          </w:p>
        </w:tc>
        <w:tc>
          <w:tcPr>
            <w:tcW w:w="919" w:type="dxa"/>
            <w:tcBorders>
              <w:top w:val="nil"/>
              <w:left w:val="nil"/>
              <w:bottom w:val="single" w:color="auto" w:sz="8" w:space="0"/>
              <w:right w:val="single" w:color="auto" w:sz="4" w:space="0"/>
            </w:tcBorders>
            <w:noWrap/>
            <w:vAlign w:val="center"/>
          </w:tcPr>
          <w:p>
            <w:pPr>
              <w:widowControl/>
              <w:jc w:val="center"/>
              <w:rPr>
                <w:rFonts w:ascii="Times New Roman" w:hAnsi="Times New Roman" w:eastAsia="宋体"/>
                <w:b/>
                <w:bCs/>
                <w:color w:val="000000"/>
                <w:kern w:val="0"/>
                <w:sz w:val="18"/>
                <w:szCs w:val="18"/>
              </w:rPr>
            </w:pPr>
          </w:p>
        </w:tc>
        <w:tc>
          <w:tcPr>
            <w:tcW w:w="302" w:type="dxa"/>
            <w:tcBorders>
              <w:top w:val="nil"/>
              <w:left w:val="nil"/>
              <w:bottom w:val="single" w:color="auto" w:sz="8" w:space="0"/>
              <w:right w:val="single" w:color="auto" w:sz="8" w:space="0"/>
            </w:tcBorders>
            <w:noWrap/>
            <w:vAlign w:val="center"/>
          </w:tcPr>
          <w:p>
            <w:pPr>
              <w:widowControl/>
              <w:jc w:val="center"/>
              <w:rPr>
                <w:rFonts w:ascii="Times New Roman" w:hAnsi="Times New Roman" w:eastAsia="宋体"/>
                <w:b/>
                <w:bCs/>
                <w:color w:val="000000"/>
                <w:kern w:val="0"/>
                <w:sz w:val="22"/>
              </w:rPr>
            </w:pPr>
            <w:r>
              <w:rPr>
                <w:rFonts w:hint="eastAsia" w:ascii="Times New Roman" w:hAnsi="Times New Roman" w:eastAsia="宋体"/>
                <w:b/>
                <w:bCs/>
                <w:color w:val="000000"/>
                <w:kern w:val="0"/>
                <w:sz w:val="22"/>
              </w:rPr>
              <w:t>　</w:t>
            </w:r>
          </w:p>
        </w:tc>
      </w:tr>
    </w:tbl>
    <w:p>
      <w:pPr>
        <w:pStyle w:val="24"/>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both"/>
        <w:textAlignment w:val="auto"/>
        <w:outlineLvl w:val="9"/>
        <w:rPr>
          <w:rFonts w:hint="eastAsia" w:ascii="仿宋" w:hAnsi="仿宋" w:eastAsia="仿宋" w:cs="仿宋"/>
          <w:spacing w:val="6"/>
          <w:sz w:val="32"/>
          <w:szCs w:val="32"/>
        </w:rPr>
      </w:pPr>
    </w:p>
    <w:sectPr>
      <w:footerReference r:id="rId10" w:type="default"/>
      <w:pgSz w:w="11906" w:h="16838"/>
      <w:pgMar w:top="2098" w:right="1531" w:bottom="1984" w:left="1531" w:header="851" w:footer="992" w:gutter="0"/>
      <w:pgNumType w:start="1"/>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2F4BA294-4AFB-4B15-B446-FCFFD434ED44}"/>
  </w:font>
  <w:font w:name="仿宋">
    <w:panose1 w:val="02010609060101010101"/>
    <w:charset w:val="86"/>
    <w:family w:val="auto"/>
    <w:pitch w:val="default"/>
    <w:sig w:usb0="800002BF" w:usb1="38CF7CFA" w:usb2="00000016" w:usb3="00000000" w:csb0="00040001" w:csb1="00000000"/>
    <w:embedRegular r:id="rId2" w:fontKey="{0B77D86D-C13C-4E8E-B10A-4B07BF976F89}"/>
  </w:font>
  <w:font w:name="方正小标宋_GBK">
    <w:panose1 w:val="03000509000000000000"/>
    <w:charset w:val="86"/>
    <w:family w:val="auto"/>
    <w:pitch w:val="default"/>
    <w:sig w:usb0="00000001" w:usb1="080E0000" w:usb2="00000000" w:usb3="00000000" w:csb0="00040000" w:csb1="00000000"/>
    <w:embedRegular r:id="rId3" w:fontKey="{802B35A4-0EA6-41FC-8844-1961F737EA50}"/>
  </w:font>
  <w:font w:name="方正黑体_GBK">
    <w:panose1 w:val="03000509000000000000"/>
    <w:charset w:val="86"/>
    <w:family w:val="auto"/>
    <w:pitch w:val="default"/>
    <w:sig w:usb0="00000001" w:usb1="080E0000" w:usb2="00000000" w:usb3="00000000" w:csb0="00040000" w:csb1="00000000"/>
    <w:embedRegular r:id="rId4" w:fontKey="{0749AC90-F87F-4F77-AD38-8CE4A2C5E7A2}"/>
  </w:font>
  <w:font w:name="方正楷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HYb2gj">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rPr>
    </w:pPr>
    <w:r>
      <w:rPr>
        <w:rFonts w:ascii="Times New Roman" w:hAnsi="Times New Roman"/>
        <w:sz w:val="21"/>
        <w:szCs w:val="21"/>
        <w:lang w:val="zh-CN"/>
      </w:rPr>
      <w:t>~</w:t>
    </w: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19</w:t>
    </w:r>
    <w:r>
      <w:rPr>
        <w:rFonts w:ascii="Times New Roman" w:hAnsi="Times New Roman"/>
        <w:sz w:val="21"/>
        <w:szCs w:val="21"/>
      </w:rPr>
      <w:fldChar w:fldCharType="end"/>
    </w:r>
    <w:r>
      <w:rPr>
        <w:rFonts w:ascii="Times New Roman" w:hAnsi="Times New Roman"/>
        <w:sz w:val="21"/>
        <w:szCs w:val="21"/>
        <w:lang w:val="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lang w:val="zh-CN"/>
      </w:rPr>
    </w:pPr>
  </w:p>
  <w:p>
    <w:pPr>
      <w:pStyle w:val="8"/>
      <w:rPr>
        <w:rFonts w:ascii="Times New Roman" w:hAnsi="Times New Roman"/>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lang w:val="zh-CN"/>
      </w:rPr>
    </w:pPr>
  </w:p>
  <w:p>
    <w:pPr>
      <w:pStyle w:val="8"/>
      <w:rPr>
        <w:rFonts w:ascii="Times New Roman" w:hAnsi="Times New Roman"/>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lang w:val="zh-CN"/>
      </w:rPr>
    </w:pPr>
  </w:p>
  <w:p>
    <w:pPr>
      <w:pStyle w:val="8"/>
      <w:jc w:val="center"/>
      <w:rPr>
        <w:rFonts w:ascii="Times New Roman" w:hAnsi="Times New Roman"/>
        <w:sz w:val="21"/>
        <w:szCs w:val="21"/>
      </w:rPr>
    </w:pPr>
    <w:r>
      <w:rPr>
        <w:rFonts w:ascii="Times New Roman" w:hAnsi="Times New Roman"/>
        <w:sz w:val="21"/>
        <w:szCs w:val="21"/>
        <w:lang w:val="zh-CN"/>
      </w:rPr>
      <w:t>~</w:t>
    </w: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2</w:t>
    </w:r>
    <w:r>
      <w:rPr>
        <w:rFonts w:ascii="Times New Roman" w:hAnsi="Times New Roman"/>
        <w:sz w:val="21"/>
        <w:szCs w:val="21"/>
      </w:rPr>
      <w:fldChar w:fldCharType="end"/>
    </w:r>
    <w:r>
      <w:rPr>
        <w:rFonts w:ascii="Times New Roman" w:hAnsi="Times New Roman"/>
        <w:sz w:val="21"/>
        <w:szCs w:val="21"/>
        <w:lang w:val="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8538"/>
    <w:multiLevelType w:val="singleLevel"/>
    <w:tmpl w:val="F4678538"/>
    <w:lvl w:ilvl="0" w:tentative="0">
      <w:start w:val="1"/>
      <w:numFmt w:val="chineseCounting"/>
      <w:suff w:val="nothing"/>
      <w:lvlText w:val="（%1）"/>
      <w:lvlJc w:val="left"/>
      <w:rPr>
        <w:rFonts w:hint="eastAsia"/>
      </w:rPr>
    </w:lvl>
  </w:abstractNum>
  <w:abstractNum w:abstractNumId="1">
    <w:nsid w:val="3C22ECCD"/>
    <w:multiLevelType w:val="singleLevel"/>
    <w:tmpl w:val="3C22ECCD"/>
    <w:lvl w:ilvl="0" w:tentative="0">
      <w:start w:val="4"/>
      <w:numFmt w:val="chineseCounting"/>
      <w:suff w:val="nothing"/>
      <w:lvlText w:val="%1、"/>
      <w:lvlJc w:val="left"/>
      <w:pPr>
        <w:ind w:left="-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xOTVlZWNmMmE4OTU2YTdkZjhjYTIzMWI2YTNmNTcifQ=="/>
  </w:docVars>
  <w:rsids>
    <w:rsidRoot w:val="00172A27"/>
    <w:rsid w:val="00017D72"/>
    <w:rsid w:val="00021092"/>
    <w:rsid w:val="0002561E"/>
    <w:rsid w:val="00036ACC"/>
    <w:rsid w:val="0005491C"/>
    <w:rsid w:val="00096F1A"/>
    <w:rsid w:val="000C1FF9"/>
    <w:rsid w:val="000E5D71"/>
    <w:rsid w:val="00121F55"/>
    <w:rsid w:val="00133387"/>
    <w:rsid w:val="001504EF"/>
    <w:rsid w:val="00152CC1"/>
    <w:rsid w:val="00172A27"/>
    <w:rsid w:val="00172E78"/>
    <w:rsid w:val="00182387"/>
    <w:rsid w:val="00186BF0"/>
    <w:rsid w:val="001B0774"/>
    <w:rsid w:val="001B24F1"/>
    <w:rsid w:val="001C0158"/>
    <w:rsid w:val="001C048E"/>
    <w:rsid w:val="001D5BA5"/>
    <w:rsid w:val="00280B22"/>
    <w:rsid w:val="00286DB6"/>
    <w:rsid w:val="00290EF7"/>
    <w:rsid w:val="00291AFB"/>
    <w:rsid w:val="002B58D3"/>
    <w:rsid w:val="002E042F"/>
    <w:rsid w:val="002E7346"/>
    <w:rsid w:val="00323D4A"/>
    <w:rsid w:val="00356B2E"/>
    <w:rsid w:val="00362C82"/>
    <w:rsid w:val="0036566E"/>
    <w:rsid w:val="00392DC7"/>
    <w:rsid w:val="003E344D"/>
    <w:rsid w:val="0040159C"/>
    <w:rsid w:val="00407F2D"/>
    <w:rsid w:val="004347AF"/>
    <w:rsid w:val="004A2182"/>
    <w:rsid w:val="004B123D"/>
    <w:rsid w:val="004B48CF"/>
    <w:rsid w:val="004B669C"/>
    <w:rsid w:val="00531956"/>
    <w:rsid w:val="00577718"/>
    <w:rsid w:val="00577A4A"/>
    <w:rsid w:val="00583871"/>
    <w:rsid w:val="005A7CDA"/>
    <w:rsid w:val="005B61BD"/>
    <w:rsid w:val="006B6DF6"/>
    <w:rsid w:val="006C56FE"/>
    <w:rsid w:val="00706BA9"/>
    <w:rsid w:val="00723E89"/>
    <w:rsid w:val="00737116"/>
    <w:rsid w:val="00750E70"/>
    <w:rsid w:val="0075190F"/>
    <w:rsid w:val="00772BC6"/>
    <w:rsid w:val="007A40B7"/>
    <w:rsid w:val="007C3495"/>
    <w:rsid w:val="00802AF0"/>
    <w:rsid w:val="00812ED9"/>
    <w:rsid w:val="0082057F"/>
    <w:rsid w:val="00853BE6"/>
    <w:rsid w:val="008A048B"/>
    <w:rsid w:val="008D7AA2"/>
    <w:rsid w:val="008E0C60"/>
    <w:rsid w:val="008F598A"/>
    <w:rsid w:val="0092513B"/>
    <w:rsid w:val="00936276"/>
    <w:rsid w:val="0093638A"/>
    <w:rsid w:val="00940D97"/>
    <w:rsid w:val="00986D86"/>
    <w:rsid w:val="009E139E"/>
    <w:rsid w:val="009E6332"/>
    <w:rsid w:val="009F3350"/>
    <w:rsid w:val="00A010BF"/>
    <w:rsid w:val="00A0692A"/>
    <w:rsid w:val="00A06F97"/>
    <w:rsid w:val="00A1090E"/>
    <w:rsid w:val="00A21A15"/>
    <w:rsid w:val="00A21BFD"/>
    <w:rsid w:val="00A400FD"/>
    <w:rsid w:val="00A65B21"/>
    <w:rsid w:val="00A73BD9"/>
    <w:rsid w:val="00AB7B21"/>
    <w:rsid w:val="00AC6766"/>
    <w:rsid w:val="00AE5C62"/>
    <w:rsid w:val="00B06E28"/>
    <w:rsid w:val="00B133D8"/>
    <w:rsid w:val="00B20820"/>
    <w:rsid w:val="00B24B29"/>
    <w:rsid w:val="00B32474"/>
    <w:rsid w:val="00B3614B"/>
    <w:rsid w:val="00B70DAF"/>
    <w:rsid w:val="00B87034"/>
    <w:rsid w:val="00BA337D"/>
    <w:rsid w:val="00BC0EB9"/>
    <w:rsid w:val="00BE22FA"/>
    <w:rsid w:val="00BE45BC"/>
    <w:rsid w:val="00C04AF1"/>
    <w:rsid w:val="00C20A57"/>
    <w:rsid w:val="00C86A1D"/>
    <w:rsid w:val="00C968FC"/>
    <w:rsid w:val="00CC6C7E"/>
    <w:rsid w:val="00D11920"/>
    <w:rsid w:val="00D33BBC"/>
    <w:rsid w:val="00D70622"/>
    <w:rsid w:val="00D82147"/>
    <w:rsid w:val="00D90940"/>
    <w:rsid w:val="00DC3189"/>
    <w:rsid w:val="00DD5FAB"/>
    <w:rsid w:val="00E0037D"/>
    <w:rsid w:val="00E0770D"/>
    <w:rsid w:val="00E165F2"/>
    <w:rsid w:val="00E626BA"/>
    <w:rsid w:val="00E76359"/>
    <w:rsid w:val="00E82F07"/>
    <w:rsid w:val="00E92E24"/>
    <w:rsid w:val="00EA464A"/>
    <w:rsid w:val="00EC7E67"/>
    <w:rsid w:val="00EE3C29"/>
    <w:rsid w:val="00F064AE"/>
    <w:rsid w:val="00F1591A"/>
    <w:rsid w:val="00F2497D"/>
    <w:rsid w:val="00FA224E"/>
    <w:rsid w:val="00FB46D3"/>
    <w:rsid w:val="00FB5B77"/>
    <w:rsid w:val="00FC4C92"/>
    <w:rsid w:val="00FD3975"/>
    <w:rsid w:val="01011432"/>
    <w:rsid w:val="011748C4"/>
    <w:rsid w:val="012314AB"/>
    <w:rsid w:val="015123B9"/>
    <w:rsid w:val="0158321F"/>
    <w:rsid w:val="01583748"/>
    <w:rsid w:val="01620834"/>
    <w:rsid w:val="017240DE"/>
    <w:rsid w:val="01B2379A"/>
    <w:rsid w:val="01BC0FA3"/>
    <w:rsid w:val="01D9415D"/>
    <w:rsid w:val="01E449DA"/>
    <w:rsid w:val="020E7EB7"/>
    <w:rsid w:val="02381182"/>
    <w:rsid w:val="02385327"/>
    <w:rsid w:val="024141DC"/>
    <w:rsid w:val="024737BC"/>
    <w:rsid w:val="025722C7"/>
    <w:rsid w:val="02685C0C"/>
    <w:rsid w:val="02936A01"/>
    <w:rsid w:val="029562D6"/>
    <w:rsid w:val="02A93B2F"/>
    <w:rsid w:val="02AD7AC3"/>
    <w:rsid w:val="02B20C36"/>
    <w:rsid w:val="02BE3A7E"/>
    <w:rsid w:val="03062D2F"/>
    <w:rsid w:val="030D40BE"/>
    <w:rsid w:val="038720C2"/>
    <w:rsid w:val="03880F30"/>
    <w:rsid w:val="039667A9"/>
    <w:rsid w:val="03AF6F21"/>
    <w:rsid w:val="03C110F9"/>
    <w:rsid w:val="03C2759E"/>
    <w:rsid w:val="03D1158F"/>
    <w:rsid w:val="03D16E47"/>
    <w:rsid w:val="03E2554B"/>
    <w:rsid w:val="03E868D9"/>
    <w:rsid w:val="03F4527E"/>
    <w:rsid w:val="040731F8"/>
    <w:rsid w:val="041E22FB"/>
    <w:rsid w:val="04206159"/>
    <w:rsid w:val="042F62B6"/>
    <w:rsid w:val="043B10FF"/>
    <w:rsid w:val="0449381C"/>
    <w:rsid w:val="04510922"/>
    <w:rsid w:val="046F3FE0"/>
    <w:rsid w:val="0475016D"/>
    <w:rsid w:val="04820ADC"/>
    <w:rsid w:val="04904FA7"/>
    <w:rsid w:val="04910D1F"/>
    <w:rsid w:val="049F343C"/>
    <w:rsid w:val="049F7431"/>
    <w:rsid w:val="04A52162"/>
    <w:rsid w:val="04AB4D5E"/>
    <w:rsid w:val="04B934CE"/>
    <w:rsid w:val="04D83D7B"/>
    <w:rsid w:val="04DD69CA"/>
    <w:rsid w:val="04E62E18"/>
    <w:rsid w:val="04F80D9E"/>
    <w:rsid w:val="04F82B4C"/>
    <w:rsid w:val="053C0C8A"/>
    <w:rsid w:val="054162A1"/>
    <w:rsid w:val="05467D5B"/>
    <w:rsid w:val="055406CA"/>
    <w:rsid w:val="056F2E0E"/>
    <w:rsid w:val="057E12A3"/>
    <w:rsid w:val="05880374"/>
    <w:rsid w:val="058F1702"/>
    <w:rsid w:val="058F525E"/>
    <w:rsid w:val="05AF5900"/>
    <w:rsid w:val="05B80C59"/>
    <w:rsid w:val="05DD1488"/>
    <w:rsid w:val="05DE7F94"/>
    <w:rsid w:val="05E530D0"/>
    <w:rsid w:val="05F652DD"/>
    <w:rsid w:val="06043E9E"/>
    <w:rsid w:val="060A0E5F"/>
    <w:rsid w:val="063D115E"/>
    <w:rsid w:val="064037D7"/>
    <w:rsid w:val="06547305"/>
    <w:rsid w:val="065546FA"/>
    <w:rsid w:val="0659586C"/>
    <w:rsid w:val="065A1D10"/>
    <w:rsid w:val="066761DB"/>
    <w:rsid w:val="069936B8"/>
    <w:rsid w:val="06A0349B"/>
    <w:rsid w:val="06AC39E1"/>
    <w:rsid w:val="06B37672"/>
    <w:rsid w:val="06B52CE3"/>
    <w:rsid w:val="06D4212C"/>
    <w:rsid w:val="06E23AB3"/>
    <w:rsid w:val="07117EF5"/>
    <w:rsid w:val="07165423"/>
    <w:rsid w:val="073360BD"/>
    <w:rsid w:val="077E013B"/>
    <w:rsid w:val="0788465B"/>
    <w:rsid w:val="078A2181"/>
    <w:rsid w:val="079B438E"/>
    <w:rsid w:val="07AF1BE8"/>
    <w:rsid w:val="07B216D8"/>
    <w:rsid w:val="07BB4F31"/>
    <w:rsid w:val="07BC2556"/>
    <w:rsid w:val="07C17B6D"/>
    <w:rsid w:val="07C532C2"/>
    <w:rsid w:val="07CF4038"/>
    <w:rsid w:val="07D23B28"/>
    <w:rsid w:val="07EC6998"/>
    <w:rsid w:val="0808579C"/>
    <w:rsid w:val="080D2DB2"/>
    <w:rsid w:val="08157B45"/>
    <w:rsid w:val="081B727D"/>
    <w:rsid w:val="082F0F7A"/>
    <w:rsid w:val="083640B7"/>
    <w:rsid w:val="084560A8"/>
    <w:rsid w:val="0849203C"/>
    <w:rsid w:val="08494B4C"/>
    <w:rsid w:val="08500D65"/>
    <w:rsid w:val="085D2FD8"/>
    <w:rsid w:val="086C5D2B"/>
    <w:rsid w:val="08844E22"/>
    <w:rsid w:val="08907C6B"/>
    <w:rsid w:val="08A84A33"/>
    <w:rsid w:val="08D12032"/>
    <w:rsid w:val="08D613F6"/>
    <w:rsid w:val="08D8516E"/>
    <w:rsid w:val="08DD09D6"/>
    <w:rsid w:val="08E94619"/>
    <w:rsid w:val="0923288D"/>
    <w:rsid w:val="094B1DE4"/>
    <w:rsid w:val="095E69C2"/>
    <w:rsid w:val="09715B6E"/>
    <w:rsid w:val="09736C45"/>
    <w:rsid w:val="09750C0F"/>
    <w:rsid w:val="097924AD"/>
    <w:rsid w:val="09880942"/>
    <w:rsid w:val="09975029"/>
    <w:rsid w:val="09B259BF"/>
    <w:rsid w:val="09DA6CC4"/>
    <w:rsid w:val="09E71B0D"/>
    <w:rsid w:val="09EC23D5"/>
    <w:rsid w:val="09FC4E8C"/>
    <w:rsid w:val="09FD689E"/>
    <w:rsid w:val="0A067AB9"/>
    <w:rsid w:val="0A193C90"/>
    <w:rsid w:val="0A2A19F9"/>
    <w:rsid w:val="0A2B2319"/>
    <w:rsid w:val="0A4F1460"/>
    <w:rsid w:val="0A743EC7"/>
    <w:rsid w:val="0A8530D4"/>
    <w:rsid w:val="0A9A6B7F"/>
    <w:rsid w:val="0AD35BED"/>
    <w:rsid w:val="0B1F0E32"/>
    <w:rsid w:val="0B2B3C7B"/>
    <w:rsid w:val="0B3B3792"/>
    <w:rsid w:val="0B464611"/>
    <w:rsid w:val="0B4C599F"/>
    <w:rsid w:val="0B696551"/>
    <w:rsid w:val="0B7F3FC7"/>
    <w:rsid w:val="0B8B296C"/>
    <w:rsid w:val="0BC47C2C"/>
    <w:rsid w:val="0BCD6AE0"/>
    <w:rsid w:val="0BE07B1B"/>
    <w:rsid w:val="0BED2CDE"/>
    <w:rsid w:val="0C1E733C"/>
    <w:rsid w:val="0C3C77C2"/>
    <w:rsid w:val="0C3D3FF4"/>
    <w:rsid w:val="0C4843B9"/>
    <w:rsid w:val="0C7D0506"/>
    <w:rsid w:val="0C7D4058"/>
    <w:rsid w:val="0C8573BB"/>
    <w:rsid w:val="0C8963E1"/>
    <w:rsid w:val="0C940276"/>
    <w:rsid w:val="0CA21D1B"/>
    <w:rsid w:val="0CBE467B"/>
    <w:rsid w:val="0CCF4ADA"/>
    <w:rsid w:val="0CD1749B"/>
    <w:rsid w:val="0CEE6D0E"/>
    <w:rsid w:val="0D132C19"/>
    <w:rsid w:val="0D1D5845"/>
    <w:rsid w:val="0D256CBB"/>
    <w:rsid w:val="0D29243C"/>
    <w:rsid w:val="0D4B36E1"/>
    <w:rsid w:val="0D6B65B1"/>
    <w:rsid w:val="0D894C89"/>
    <w:rsid w:val="0D8B586B"/>
    <w:rsid w:val="0D9A0C44"/>
    <w:rsid w:val="0DA27AF9"/>
    <w:rsid w:val="0DBF4B4E"/>
    <w:rsid w:val="0DD43EF0"/>
    <w:rsid w:val="0DD84FC2"/>
    <w:rsid w:val="0DD95C10"/>
    <w:rsid w:val="0DE85E53"/>
    <w:rsid w:val="0E407A3D"/>
    <w:rsid w:val="0E66162E"/>
    <w:rsid w:val="0E666D78"/>
    <w:rsid w:val="0E6B438E"/>
    <w:rsid w:val="0E72396F"/>
    <w:rsid w:val="0E752E33"/>
    <w:rsid w:val="0E7616B1"/>
    <w:rsid w:val="0E7B501C"/>
    <w:rsid w:val="0E8370C7"/>
    <w:rsid w:val="0E883192"/>
    <w:rsid w:val="0EA224A6"/>
    <w:rsid w:val="0EB16245"/>
    <w:rsid w:val="0EC046DA"/>
    <w:rsid w:val="0ED71E5B"/>
    <w:rsid w:val="0F203C3E"/>
    <w:rsid w:val="0F2E3D3A"/>
    <w:rsid w:val="0F346E76"/>
    <w:rsid w:val="0F6C2FF3"/>
    <w:rsid w:val="0F8676D2"/>
    <w:rsid w:val="0F916077"/>
    <w:rsid w:val="0F9F0124"/>
    <w:rsid w:val="0FB104C7"/>
    <w:rsid w:val="0FB83603"/>
    <w:rsid w:val="0FBB3A0D"/>
    <w:rsid w:val="0FEB4D67"/>
    <w:rsid w:val="0FEE5277"/>
    <w:rsid w:val="0FFA1BCD"/>
    <w:rsid w:val="0FFA3C1C"/>
    <w:rsid w:val="0FFC3E38"/>
    <w:rsid w:val="10066A65"/>
    <w:rsid w:val="10141507"/>
    <w:rsid w:val="101E3DAE"/>
    <w:rsid w:val="10264A11"/>
    <w:rsid w:val="102962AF"/>
    <w:rsid w:val="104F3F68"/>
    <w:rsid w:val="107F12E0"/>
    <w:rsid w:val="108F25B6"/>
    <w:rsid w:val="10945E1E"/>
    <w:rsid w:val="10B71B0D"/>
    <w:rsid w:val="10C009C2"/>
    <w:rsid w:val="10CB7366"/>
    <w:rsid w:val="10D12BCF"/>
    <w:rsid w:val="10D4446D"/>
    <w:rsid w:val="10F606A3"/>
    <w:rsid w:val="10FD1C16"/>
    <w:rsid w:val="11074842"/>
    <w:rsid w:val="110A4333"/>
    <w:rsid w:val="11447845"/>
    <w:rsid w:val="114F30CD"/>
    <w:rsid w:val="115A7068"/>
    <w:rsid w:val="11621A79"/>
    <w:rsid w:val="11687668"/>
    <w:rsid w:val="117738F9"/>
    <w:rsid w:val="117A14B8"/>
    <w:rsid w:val="119767EA"/>
    <w:rsid w:val="11A402E3"/>
    <w:rsid w:val="11AA3420"/>
    <w:rsid w:val="11C049F1"/>
    <w:rsid w:val="11C41482"/>
    <w:rsid w:val="11D81D3B"/>
    <w:rsid w:val="11EE77B0"/>
    <w:rsid w:val="122250B4"/>
    <w:rsid w:val="123258EF"/>
    <w:rsid w:val="123478B9"/>
    <w:rsid w:val="12413D84"/>
    <w:rsid w:val="12486EC1"/>
    <w:rsid w:val="12635AA8"/>
    <w:rsid w:val="126D2DCB"/>
    <w:rsid w:val="126E269F"/>
    <w:rsid w:val="12751495"/>
    <w:rsid w:val="12767ED2"/>
    <w:rsid w:val="127B54E8"/>
    <w:rsid w:val="128B1CD8"/>
    <w:rsid w:val="128D0D77"/>
    <w:rsid w:val="12AA7B7B"/>
    <w:rsid w:val="12B07463"/>
    <w:rsid w:val="12C02EFB"/>
    <w:rsid w:val="12E21B6B"/>
    <w:rsid w:val="12E52961"/>
    <w:rsid w:val="12F708E7"/>
    <w:rsid w:val="12FA35D5"/>
    <w:rsid w:val="130A061A"/>
    <w:rsid w:val="130C25E4"/>
    <w:rsid w:val="130F4137"/>
    <w:rsid w:val="13131232"/>
    <w:rsid w:val="1318617E"/>
    <w:rsid w:val="132F6B1C"/>
    <w:rsid w:val="133E02C4"/>
    <w:rsid w:val="134753CA"/>
    <w:rsid w:val="135F0966"/>
    <w:rsid w:val="13857CA0"/>
    <w:rsid w:val="13893C35"/>
    <w:rsid w:val="13937257"/>
    <w:rsid w:val="139A199E"/>
    <w:rsid w:val="13A520F1"/>
    <w:rsid w:val="13AA5959"/>
    <w:rsid w:val="13B32A60"/>
    <w:rsid w:val="13E96481"/>
    <w:rsid w:val="13FF5CA5"/>
    <w:rsid w:val="140E413A"/>
    <w:rsid w:val="14151024"/>
    <w:rsid w:val="142676D5"/>
    <w:rsid w:val="142851FC"/>
    <w:rsid w:val="14290F74"/>
    <w:rsid w:val="14293EAC"/>
    <w:rsid w:val="145A2206"/>
    <w:rsid w:val="146A5814"/>
    <w:rsid w:val="14720225"/>
    <w:rsid w:val="14771CDF"/>
    <w:rsid w:val="147815B3"/>
    <w:rsid w:val="147D3861"/>
    <w:rsid w:val="14983A03"/>
    <w:rsid w:val="14AC4637"/>
    <w:rsid w:val="14BB6147"/>
    <w:rsid w:val="14E07884"/>
    <w:rsid w:val="14F421F0"/>
    <w:rsid w:val="15015A4D"/>
    <w:rsid w:val="15033573"/>
    <w:rsid w:val="15035054"/>
    <w:rsid w:val="1505633A"/>
    <w:rsid w:val="1508448C"/>
    <w:rsid w:val="15107A3E"/>
    <w:rsid w:val="1537146E"/>
    <w:rsid w:val="15453B8B"/>
    <w:rsid w:val="15593193"/>
    <w:rsid w:val="155E69FB"/>
    <w:rsid w:val="15634011"/>
    <w:rsid w:val="156A35F2"/>
    <w:rsid w:val="15722CF6"/>
    <w:rsid w:val="157E709D"/>
    <w:rsid w:val="158C247F"/>
    <w:rsid w:val="15962639"/>
    <w:rsid w:val="15A9411A"/>
    <w:rsid w:val="15AF54A9"/>
    <w:rsid w:val="15D171CD"/>
    <w:rsid w:val="15E11B06"/>
    <w:rsid w:val="15E50ECA"/>
    <w:rsid w:val="15EB4733"/>
    <w:rsid w:val="161B0A6D"/>
    <w:rsid w:val="16351E52"/>
    <w:rsid w:val="163C4F8E"/>
    <w:rsid w:val="16685D83"/>
    <w:rsid w:val="16756B61"/>
    <w:rsid w:val="16797F90"/>
    <w:rsid w:val="16832BBD"/>
    <w:rsid w:val="169F72CB"/>
    <w:rsid w:val="16D60FF9"/>
    <w:rsid w:val="16DE1BA1"/>
    <w:rsid w:val="16FF7CC7"/>
    <w:rsid w:val="171C6B6E"/>
    <w:rsid w:val="175A0C63"/>
    <w:rsid w:val="17742506"/>
    <w:rsid w:val="178A5184"/>
    <w:rsid w:val="17914E66"/>
    <w:rsid w:val="17B943BD"/>
    <w:rsid w:val="17C074F9"/>
    <w:rsid w:val="17C3523B"/>
    <w:rsid w:val="17D52A38"/>
    <w:rsid w:val="17DC4C00"/>
    <w:rsid w:val="17DD00AB"/>
    <w:rsid w:val="17E551B2"/>
    <w:rsid w:val="17EE0FBD"/>
    <w:rsid w:val="17EF6030"/>
    <w:rsid w:val="17EF7DDE"/>
    <w:rsid w:val="18124FF4"/>
    <w:rsid w:val="181B6E25"/>
    <w:rsid w:val="183A3277"/>
    <w:rsid w:val="18475E6C"/>
    <w:rsid w:val="187A731C"/>
    <w:rsid w:val="187E258F"/>
    <w:rsid w:val="188350F6"/>
    <w:rsid w:val="18846779"/>
    <w:rsid w:val="18B76B4E"/>
    <w:rsid w:val="18CE5C88"/>
    <w:rsid w:val="18D019BE"/>
    <w:rsid w:val="18DD20B7"/>
    <w:rsid w:val="1902223E"/>
    <w:rsid w:val="190D2C12"/>
    <w:rsid w:val="190F0738"/>
    <w:rsid w:val="19102702"/>
    <w:rsid w:val="19141836"/>
    <w:rsid w:val="1935389B"/>
    <w:rsid w:val="19457CED"/>
    <w:rsid w:val="194B7296"/>
    <w:rsid w:val="194D74B2"/>
    <w:rsid w:val="195B397D"/>
    <w:rsid w:val="196565AA"/>
    <w:rsid w:val="19670543"/>
    <w:rsid w:val="19A52E4A"/>
    <w:rsid w:val="19E00326"/>
    <w:rsid w:val="1A057D8D"/>
    <w:rsid w:val="1A46187F"/>
    <w:rsid w:val="1A584B63"/>
    <w:rsid w:val="1A5F124B"/>
    <w:rsid w:val="1A706AF8"/>
    <w:rsid w:val="1AA2738A"/>
    <w:rsid w:val="1ACC4407"/>
    <w:rsid w:val="1AF04599"/>
    <w:rsid w:val="1B087B35"/>
    <w:rsid w:val="1B100797"/>
    <w:rsid w:val="1B1F09DB"/>
    <w:rsid w:val="1B324BB2"/>
    <w:rsid w:val="1B395C34"/>
    <w:rsid w:val="1B446693"/>
    <w:rsid w:val="1B4A0140"/>
    <w:rsid w:val="1B55264E"/>
    <w:rsid w:val="1B600AE0"/>
    <w:rsid w:val="1B6A434C"/>
    <w:rsid w:val="1B8076CB"/>
    <w:rsid w:val="1B852F33"/>
    <w:rsid w:val="1BA36F23"/>
    <w:rsid w:val="1BAA0105"/>
    <w:rsid w:val="1BC03F6C"/>
    <w:rsid w:val="1BC11A92"/>
    <w:rsid w:val="1BD23C9F"/>
    <w:rsid w:val="1BDB6FF7"/>
    <w:rsid w:val="1BDE2644"/>
    <w:rsid w:val="1BDE43F2"/>
    <w:rsid w:val="1BE207E3"/>
    <w:rsid w:val="1BE614F8"/>
    <w:rsid w:val="1BF105C9"/>
    <w:rsid w:val="1BF60B6E"/>
    <w:rsid w:val="1BF956CF"/>
    <w:rsid w:val="1BFD4BFD"/>
    <w:rsid w:val="1BFE6842"/>
    <w:rsid w:val="1C27223D"/>
    <w:rsid w:val="1C5D5C5E"/>
    <w:rsid w:val="1C6568C1"/>
    <w:rsid w:val="1C672639"/>
    <w:rsid w:val="1C7B24E2"/>
    <w:rsid w:val="1C85638D"/>
    <w:rsid w:val="1CBA6C0D"/>
    <w:rsid w:val="1CC57360"/>
    <w:rsid w:val="1CC730D8"/>
    <w:rsid w:val="1CD203FA"/>
    <w:rsid w:val="1CD37CCF"/>
    <w:rsid w:val="1CD852E5"/>
    <w:rsid w:val="1CEB6DC6"/>
    <w:rsid w:val="1CF741F4"/>
    <w:rsid w:val="1CFC7225"/>
    <w:rsid w:val="1CFF6AA9"/>
    <w:rsid w:val="1D04257E"/>
    <w:rsid w:val="1D063C00"/>
    <w:rsid w:val="1D0F718B"/>
    <w:rsid w:val="1D167BBB"/>
    <w:rsid w:val="1D274D79"/>
    <w:rsid w:val="1D385D84"/>
    <w:rsid w:val="1D3B2760"/>
    <w:rsid w:val="1D5D67D9"/>
    <w:rsid w:val="1D6A06BD"/>
    <w:rsid w:val="1D726DCB"/>
    <w:rsid w:val="1D7C130D"/>
    <w:rsid w:val="1D7E7C3A"/>
    <w:rsid w:val="1D81772B"/>
    <w:rsid w:val="1D8F62F3"/>
    <w:rsid w:val="1DA311B5"/>
    <w:rsid w:val="1DA5543D"/>
    <w:rsid w:val="1DA8115B"/>
    <w:rsid w:val="1DB4365C"/>
    <w:rsid w:val="1DB7314C"/>
    <w:rsid w:val="1DC1221D"/>
    <w:rsid w:val="1DCF0496"/>
    <w:rsid w:val="1DDE2DCF"/>
    <w:rsid w:val="1DEC729A"/>
    <w:rsid w:val="1DED3012"/>
    <w:rsid w:val="1DF51867"/>
    <w:rsid w:val="1E0C0B57"/>
    <w:rsid w:val="1E1B7B7F"/>
    <w:rsid w:val="1E2017E9"/>
    <w:rsid w:val="1E213C55"/>
    <w:rsid w:val="1E2C1BBB"/>
    <w:rsid w:val="1E2C4CBC"/>
    <w:rsid w:val="1E391DB3"/>
    <w:rsid w:val="1E61736E"/>
    <w:rsid w:val="1E682698"/>
    <w:rsid w:val="1E8A1ABE"/>
    <w:rsid w:val="1E8A260F"/>
    <w:rsid w:val="1E8C664B"/>
    <w:rsid w:val="1E975EC3"/>
    <w:rsid w:val="1EAE454F"/>
    <w:rsid w:val="1EB36FD8"/>
    <w:rsid w:val="1EC75611"/>
    <w:rsid w:val="1ED33FB6"/>
    <w:rsid w:val="1EDC730E"/>
    <w:rsid w:val="1F0C67C0"/>
    <w:rsid w:val="1F23309C"/>
    <w:rsid w:val="1F552C1D"/>
    <w:rsid w:val="1F6115C2"/>
    <w:rsid w:val="1F642DCD"/>
    <w:rsid w:val="1F6454B6"/>
    <w:rsid w:val="1F734E81"/>
    <w:rsid w:val="1F7E2174"/>
    <w:rsid w:val="1F875CE6"/>
    <w:rsid w:val="1F896D6A"/>
    <w:rsid w:val="1F8B4890"/>
    <w:rsid w:val="1FA3721B"/>
    <w:rsid w:val="1FB042F7"/>
    <w:rsid w:val="1FB931AC"/>
    <w:rsid w:val="1FBF0B48"/>
    <w:rsid w:val="1FC55FF4"/>
    <w:rsid w:val="1FE3647B"/>
    <w:rsid w:val="1FEB532F"/>
    <w:rsid w:val="20054643"/>
    <w:rsid w:val="200C50E2"/>
    <w:rsid w:val="200D1749"/>
    <w:rsid w:val="20140D2A"/>
    <w:rsid w:val="201605FE"/>
    <w:rsid w:val="202167A3"/>
    <w:rsid w:val="203171E6"/>
    <w:rsid w:val="20467A11"/>
    <w:rsid w:val="204F1D62"/>
    <w:rsid w:val="20670E5A"/>
    <w:rsid w:val="20693185"/>
    <w:rsid w:val="206D3F96"/>
    <w:rsid w:val="206F41B2"/>
    <w:rsid w:val="208878DC"/>
    <w:rsid w:val="208C266E"/>
    <w:rsid w:val="20983709"/>
    <w:rsid w:val="20992FDD"/>
    <w:rsid w:val="20AC0F62"/>
    <w:rsid w:val="20C462AC"/>
    <w:rsid w:val="20DF5AB7"/>
    <w:rsid w:val="20EE157B"/>
    <w:rsid w:val="20EF0E4F"/>
    <w:rsid w:val="20FC2CB4"/>
    <w:rsid w:val="20FC360C"/>
    <w:rsid w:val="2100305C"/>
    <w:rsid w:val="210963B5"/>
    <w:rsid w:val="21156B08"/>
    <w:rsid w:val="2116462E"/>
    <w:rsid w:val="211803A6"/>
    <w:rsid w:val="212B632B"/>
    <w:rsid w:val="21366A7E"/>
    <w:rsid w:val="213A656E"/>
    <w:rsid w:val="214116AB"/>
    <w:rsid w:val="2144119B"/>
    <w:rsid w:val="21621621"/>
    <w:rsid w:val="21635AC5"/>
    <w:rsid w:val="21731A80"/>
    <w:rsid w:val="21957C48"/>
    <w:rsid w:val="219713C9"/>
    <w:rsid w:val="21B10818"/>
    <w:rsid w:val="21D544E9"/>
    <w:rsid w:val="21D70DF2"/>
    <w:rsid w:val="21DF2C72"/>
    <w:rsid w:val="21F26E49"/>
    <w:rsid w:val="2266366D"/>
    <w:rsid w:val="22721D38"/>
    <w:rsid w:val="227930C6"/>
    <w:rsid w:val="228201CD"/>
    <w:rsid w:val="22833F45"/>
    <w:rsid w:val="22A27D04"/>
    <w:rsid w:val="22AF5101"/>
    <w:rsid w:val="22B10AB2"/>
    <w:rsid w:val="22CF718A"/>
    <w:rsid w:val="22DC44EC"/>
    <w:rsid w:val="22E5250A"/>
    <w:rsid w:val="22F2173B"/>
    <w:rsid w:val="231352C9"/>
    <w:rsid w:val="235002CB"/>
    <w:rsid w:val="23621DAC"/>
    <w:rsid w:val="236B0C61"/>
    <w:rsid w:val="2376433B"/>
    <w:rsid w:val="237D267E"/>
    <w:rsid w:val="23AB5501"/>
    <w:rsid w:val="23CE11F0"/>
    <w:rsid w:val="23E30AC5"/>
    <w:rsid w:val="24092228"/>
    <w:rsid w:val="24483535"/>
    <w:rsid w:val="244F40DF"/>
    <w:rsid w:val="2459425E"/>
    <w:rsid w:val="246D27B7"/>
    <w:rsid w:val="24831FDA"/>
    <w:rsid w:val="249D12EE"/>
    <w:rsid w:val="24A87C93"/>
    <w:rsid w:val="24AA3A0B"/>
    <w:rsid w:val="24CF6FCD"/>
    <w:rsid w:val="24E0567E"/>
    <w:rsid w:val="24FE78B3"/>
    <w:rsid w:val="250E5D48"/>
    <w:rsid w:val="252A68FA"/>
    <w:rsid w:val="252B4B4C"/>
    <w:rsid w:val="253D03DB"/>
    <w:rsid w:val="2551032A"/>
    <w:rsid w:val="25796E5D"/>
    <w:rsid w:val="257D2ECD"/>
    <w:rsid w:val="25AE12D9"/>
    <w:rsid w:val="25C12DBA"/>
    <w:rsid w:val="25C14172"/>
    <w:rsid w:val="25D54AB7"/>
    <w:rsid w:val="25DA4D4D"/>
    <w:rsid w:val="25DC4098"/>
    <w:rsid w:val="25E76599"/>
    <w:rsid w:val="25E82A3D"/>
    <w:rsid w:val="25F25669"/>
    <w:rsid w:val="25FC61E4"/>
    <w:rsid w:val="25FD7B6A"/>
    <w:rsid w:val="26123616"/>
    <w:rsid w:val="261A0C88"/>
    <w:rsid w:val="263E764F"/>
    <w:rsid w:val="264D0AF2"/>
    <w:rsid w:val="265E685B"/>
    <w:rsid w:val="26B40B71"/>
    <w:rsid w:val="26C30DB4"/>
    <w:rsid w:val="26F05FA5"/>
    <w:rsid w:val="270D0281"/>
    <w:rsid w:val="271433BD"/>
    <w:rsid w:val="27181100"/>
    <w:rsid w:val="27286E69"/>
    <w:rsid w:val="273B4DEE"/>
    <w:rsid w:val="27557B9B"/>
    <w:rsid w:val="275A34C6"/>
    <w:rsid w:val="27734588"/>
    <w:rsid w:val="27753284"/>
    <w:rsid w:val="277F2F2D"/>
    <w:rsid w:val="279938C3"/>
    <w:rsid w:val="27AC7A9A"/>
    <w:rsid w:val="27B150B0"/>
    <w:rsid w:val="27B30E28"/>
    <w:rsid w:val="27B34984"/>
    <w:rsid w:val="27CE5C62"/>
    <w:rsid w:val="27D019DA"/>
    <w:rsid w:val="27D8088F"/>
    <w:rsid w:val="27E92A9C"/>
    <w:rsid w:val="27ED27C0"/>
    <w:rsid w:val="27F05BD9"/>
    <w:rsid w:val="28090A48"/>
    <w:rsid w:val="28137707"/>
    <w:rsid w:val="281E2746"/>
    <w:rsid w:val="2843570A"/>
    <w:rsid w:val="28445F24"/>
    <w:rsid w:val="284657F9"/>
    <w:rsid w:val="28732366"/>
    <w:rsid w:val="28884063"/>
    <w:rsid w:val="28AD5878"/>
    <w:rsid w:val="28D725C7"/>
    <w:rsid w:val="28EC45F2"/>
    <w:rsid w:val="29037B8D"/>
    <w:rsid w:val="290D1026"/>
    <w:rsid w:val="291C47AB"/>
    <w:rsid w:val="292D0766"/>
    <w:rsid w:val="295201CD"/>
    <w:rsid w:val="29581C87"/>
    <w:rsid w:val="29842A7C"/>
    <w:rsid w:val="29854F98"/>
    <w:rsid w:val="299802D6"/>
    <w:rsid w:val="299B6018"/>
    <w:rsid w:val="29B42C36"/>
    <w:rsid w:val="29C27101"/>
    <w:rsid w:val="29C63095"/>
    <w:rsid w:val="29CB6216"/>
    <w:rsid w:val="29E4351B"/>
    <w:rsid w:val="2A0B0AA8"/>
    <w:rsid w:val="2A1F66F8"/>
    <w:rsid w:val="2A2618E6"/>
    <w:rsid w:val="2A3049B2"/>
    <w:rsid w:val="2A3D0E7D"/>
    <w:rsid w:val="2A41271B"/>
    <w:rsid w:val="2A461AE0"/>
    <w:rsid w:val="2A585F26"/>
    <w:rsid w:val="2A5961EA"/>
    <w:rsid w:val="2A7A3E7F"/>
    <w:rsid w:val="2A7A6F90"/>
    <w:rsid w:val="2A7D127A"/>
    <w:rsid w:val="2A8602B7"/>
    <w:rsid w:val="2A924D25"/>
    <w:rsid w:val="2A9F7442"/>
    <w:rsid w:val="2AAA4765"/>
    <w:rsid w:val="2AB70C30"/>
    <w:rsid w:val="2ABE3D6C"/>
    <w:rsid w:val="2AEB2687"/>
    <w:rsid w:val="2AF53506"/>
    <w:rsid w:val="2B112AFD"/>
    <w:rsid w:val="2B125E66"/>
    <w:rsid w:val="2B193698"/>
    <w:rsid w:val="2B255B99"/>
    <w:rsid w:val="2B275DB5"/>
    <w:rsid w:val="2B380B20"/>
    <w:rsid w:val="2B4C0426"/>
    <w:rsid w:val="2B604E23"/>
    <w:rsid w:val="2B683CD8"/>
    <w:rsid w:val="2B9176D3"/>
    <w:rsid w:val="2BB62C95"/>
    <w:rsid w:val="2BC5143B"/>
    <w:rsid w:val="2BC929C8"/>
    <w:rsid w:val="2BCC7BEB"/>
    <w:rsid w:val="2BF437BD"/>
    <w:rsid w:val="2BFD08C4"/>
    <w:rsid w:val="2C02412C"/>
    <w:rsid w:val="2C025EDA"/>
    <w:rsid w:val="2C2045B2"/>
    <w:rsid w:val="2C210A56"/>
    <w:rsid w:val="2C2E3173"/>
    <w:rsid w:val="2C3F3DB6"/>
    <w:rsid w:val="2C4B162F"/>
    <w:rsid w:val="2C536736"/>
    <w:rsid w:val="2C5C571B"/>
    <w:rsid w:val="2C680433"/>
    <w:rsid w:val="2C842D93"/>
    <w:rsid w:val="2C853793"/>
    <w:rsid w:val="2C8763E0"/>
    <w:rsid w:val="2CB25B52"/>
    <w:rsid w:val="2CC03124"/>
    <w:rsid w:val="2CCB191D"/>
    <w:rsid w:val="2CD31625"/>
    <w:rsid w:val="2CDC672B"/>
    <w:rsid w:val="2CF9108B"/>
    <w:rsid w:val="2D1660E1"/>
    <w:rsid w:val="2D2D342B"/>
    <w:rsid w:val="2D355E3C"/>
    <w:rsid w:val="2D430559"/>
    <w:rsid w:val="2D572256"/>
    <w:rsid w:val="2D630BFB"/>
    <w:rsid w:val="2D67693D"/>
    <w:rsid w:val="2D8452AB"/>
    <w:rsid w:val="2D8A7365"/>
    <w:rsid w:val="2D8E5D42"/>
    <w:rsid w:val="2DA90D03"/>
    <w:rsid w:val="2DC66C82"/>
    <w:rsid w:val="2E277E7A"/>
    <w:rsid w:val="2E334A71"/>
    <w:rsid w:val="2E446A7D"/>
    <w:rsid w:val="2E516CA5"/>
    <w:rsid w:val="2E580034"/>
    <w:rsid w:val="2E5E648F"/>
    <w:rsid w:val="2E8928E3"/>
    <w:rsid w:val="2EAB17DE"/>
    <w:rsid w:val="2EAB2859"/>
    <w:rsid w:val="2EB931C8"/>
    <w:rsid w:val="2EDD678B"/>
    <w:rsid w:val="2EF20488"/>
    <w:rsid w:val="2F087CAC"/>
    <w:rsid w:val="2F1209C9"/>
    <w:rsid w:val="2F230642"/>
    <w:rsid w:val="2F4963B6"/>
    <w:rsid w:val="2F577040"/>
    <w:rsid w:val="2F590507"/>
    <w:rsid w:val="2F69244D"/>
    <w:rsid w:val="2F8C4439"/>
    <w:rsid w:val="2F996B56"/>
    <w:rsid w:val="2FA86D99"/>
    <w:rsid w:val="2FB120F1"/>
    <w:rsid w:val="2FBF2301"/>
    <w:rsid w:val="2FC121F0"/>
    <w:rsid w:val="2FCE2CA3"/>
    <w:rsid w:val="2FCF07C9"/>
    <w:rsid w:val="2FEF49C8"/>
    <w:rsid w:val="2FF41FDE"/>
    <w:rsid w:val="301C610F"/>
    <w:rsid w:val="30376383"/>
    <w:rsid w:val="3065400D"/>
    <w:rsid w:val="30813272"/>
    <w:rsid w:val="309317F7"/>
    <w:rsid w:val="30B04157"/>
    <w:rsid w:val="30B359F5"/>
    <w:rsid w:val="30BD4AC6"/>
    <w:rsid w:val="30C96FC7"/>
    <w:rsid w:val="30CE282F"/>
    <w:rsid w:val="30D32CE3"/>
    <w:rsid w:val="30DC5834"/>
    <w:rsid w:val="30E67B79"/>
    <w:rsid w:val="30EE4C7F"/>
    <w:rsid w:val="30FD4EC2"/>
    <w:rsid w:val="312D1C4B"/>
    <w:rsid w:val="3140197F"/>
    <w:rsid w:val="316136A3"/>
    <w:rsid w:val="316867E0"/>
    <w:rsid w:val="31857392"/>
    <w:rsid w:val="3186310A"/>
    <w:rsid w:val="319A0963"/>
    <w:rsid w:val="31B42060"/>
    <w:rsid w:val="31B47C77"/>
    <w:rsid w:val="31C53C32"/>
    <w:rsid w:val="31D40319"/>
    <w:rsid w:val="31E0281A"/>
    <w:rsid w:val="31F52C3B"/>
    <w:rsid w:val="31FF1D26"/>
    <w:rsid w:val="32152283"/>
    <w:rsid w:val="3216448E"/>
    <w:rsid w:val="32250F91"/>
    <w:rsid w:val="32274B8B"/>
    <w:rsid w:val="322E5C7B"/>
    <w:rsid w:val="3236068C"/>
    <w:rsid w:val="32471254"/>
    <w:rsid w:val="324803BF"/>
    <w:rsid w:val="325F23CF"/>
    <w:rsid w:val="326C4143"/>
    <w:rsid w:val="32717916"/>
    <w:rsid w:val="32747406"/>
    <w:rsid w:val="32AC094E"/>
    <w:rsid w:val="32B75C71"/>
    <w:rsid w:val="32BB5035"/>
    <w:rsid w:val="32C74E7A"/>
    <w:rsid w:val="32E77BD8"/>
    <w:rsid w:val="32EB46F7"/>
    <w:rsid w:val="32EB591A"/>
    <w:rsid w:val="32F9796A"/>
    <w:rsid w:val="32FD73FC"/>
    <w:rsid w:val="33121344"/>
    <w:rsid w:val="33150BE9"/>
    <w:rsid w:val="3328091C"/>
    <w:rsid w:val="3352267B"/>
    <w:rsid w:val="33572FB0"/>
    <w:rsid w:val="335C05EB"/>
    <w:rsid w:val="338673F1"/>
    <w:rsid w:val="338A1331"/>
    <w:rsid w:val="338A1C5E"/>
    <w:rsid w:val="33A17044"/>
    <w:rsid w:val="33AD7074"/>
    <w:rsid w:val="33B14536"/>
    <w:rsid w:val="33B201E6"/>
    <w:rsid w:val="33BB353F"/>
    <w:rsid w:val="33C125DB"/>
    <w:rsid w:val="33C87A09"/>
    <w:rsid w:val="33E12879"/>
    <w:rsid w:val="34270BD4"/>
    <w:rsid w:val="34390907"/>
    <w:rsid w:val="343A368F"/>
    <w:rsid w:val="3445105A"/>
    <w:rsid w:val="344F012B"/>
    <w:rsid w:val="34521F12"/>
    <w:rsid w:val="34586FDF"/>
    <w:rsid w:val="345E3ECA"/>
    <w:rsid w:val="346911EC"/>
    <w:rsid w:val="347656B7"/>
    <w:rsid w:val="348F22D5"/>
    <w:rsid w:val="349977F4"/>
    <w:rsid w:val="34AF4725"/>
    <w:rsid w:val="34B850AF"/>
    <w:rsid w:val="34BC3317"/>
    <w:rsid w:val="34BD32E6"/>
    <w:rsid w:val="34D128EE"/>
    <w:rsid w:val="34D15BD8"/>
    <w:rsid w:val="34DB551B"/>
    <w:rsid w:val="34E645EB"/>
    <w:rsid w:val="35073412"/>
    <w:rsid w:val="35246EC1"/>
    <w:rsid w:val="35305866"/>
    <w:rsid w:val="353F1DF5"/>
    <w:rsid w:val="354B08F2"/>
    <w:rsid w:val="354B444E"/>
    <w:rsid w:val="355552CD"/>
    <w:rsid w:val="35780FBB"/>
    <w:rsid w:val="358B0CEF"/>
    <w:rsid w:val="359E01CA"/>
    <w:rsid w:val="35B9585C"/>
    <w:rsid w:val="35BA18E9"/>
    <w:rsid w:val="35C91817"/>
    <w:rsid w:val="35D02BA5"/>
    <w:rsid w:val="360016DD"/>
    <w:rsid w:val="36341386"/>
    <w:rsid w:val="36394BEF"/>
    <w:rsid w:val="3641163C"/>
    <w:rsid w:val="366003CD"/>
    <w:rsid w:val="3679323D"/>
    <w:rsid w:val="36820344"/>
    <w:rsid w:val="368816D2"/>
    <w:rsid w:val="36A24542"/>
    <w:rsid w:val="36AF4EB1"/>
    <w:rsid w:val="36C56482"/>
    <w:rsid w:val="36CA5847"/>
    <w:rsid w:val="36D36DF1"/>
    <w:rsid w:val="36D84407"/>
    <w:rsid w:val="36E36908"/>
    <w:rsid w:val="36E508D2"/>
    <w:rsid w:val="36EB2E81"/>
    <w:rsid w:val="36F56A14"/>
    <w:rsid w:val="36F7102F"/>
    <w:rsid w:val="37070849"/>
    <w:rsid w:val="371001AD"/>
    <w:rsid w:val="37103A97"/>
    <w:rsid w:val="37103BA1"/>
    <w:rsid w:val="37190CCB"/>
    <w:rsid w:val="371B0159"/>
    <w:rsid w:val="37204C66"/>
    <w:rsid w:val="37215DAE"/>
    <w:rsid w:val="37386C54"/>
    <w:rsid w:val="374B4BD9"/>
    <w:rsid w:val="374E0226"/>
    <w:rsid w:val="37B502A5"/>
    <w:rsid w:val="37C91822"/>
    <w:rsid w:val="37DC3A83"/>
    <w:rsid w:val="37DC7A31"/>
    <w:rsid w:val="37E071AC"/>
    <w:rsid w:val="37E15BDC"/>
    <w:rsid w:val="37F0752F"/>
    <w:rsid w:val="37F26B4C"/>
    <w:rsid w:val="37FC2378"/>
    <w:rsid w:val="38123949"/>
    <w:rsid w:val="382F44FB"/>
    <w:rsid w:val="384004B6"/>
    <w:rsid w:val="38485EC8"/>
    <w:rsid w:val="38635F53"/>
    <w:rsid w:val="38740160"/>
    <w:rsid w:val="38827389"/>
    <w:rsid w:val="3891486E"/>
    <w:rsid w:val="38D62BC9"/>
    <w:rsid w:val="38DB1F8D"/>
    <w:rsid w:val="38E075A3"/>
    <w:rsid w:val="38E55B74"/>
    <w:rsid w:val="38E56968"/>
    <w:rsid w:val="38E76B84"/>
    <w:rsid w:val="38F02E97"/>
    <w:rsid w:val="38F20621"/>
    <w:rsid w:val="38F35529"/>
    <w:rsid w:val="391F4E2B"/>
    <w:rsid w:val="3927240F"/>
    <w:rsid w:val="39513FFD"/>
    <w:rsid w:val="395D0BF4"/>
    <w:rsid w:val="396F0447"/>
    <w:rsid w:val="397C551E"/>
    <w:rsid w:val="398E1CFA"/>
    <w:rsid w:val="39904B26"/>
    <w:rsid w:val="39930ABA"/>
    <w:rsid w:val="399A59A4"/>
    <w:rsid w:val="399A5FDA"/>
    <w:rsid w:val="399F2FBB"/>
    <w:rsid w:val="39AE1450"/>
    <w:rsid w:val="39D2559E"/>
    <w:rsid w:val="39EB47E9"/>
    <w:rsid w:val="39F41558"/>
    <w:rsid w:val="3A00614F"/>
    <w:rsid w:val="3A051E5E"/>
    <w:rsid w:val="3A086DB2"/>
    <w:rsid w:val="3A105C66"/>
    <w:rsid w:val="3A186C7D"/>
    <w:rsid w:val="3A1A1771"/>
    <w:rsid w:val="3A2B0CF2"/>
    <w:rsid w:val="3A2B6F44"/>
    <w:rsid w:val="3A502507"/>
    <w:rsid w:val="3A52627F"/>
    <w:rsid w:val="3A7A7584"/>
    <w:rsid w:val="3A8A3C6B"/>
    <w:rsid w:val="3AA27206"/>
    <w:rsid w:val="3AA52853"/>
    <w:rsid w:val="3AA765CB"/>
    <w:rsid w:val="3AA82343"/>
    <w:rsid w:val="3AAA1722"/>
    <w:rsid w:val="3AB900AC"/>
    <w:rsid w:val="3ABE56C2"/>
    <w:rsid w:val="3B1F2605"/>
    <w:rsid w:val="3B207931"/>
    <w:rsid w:val="3B252A87"/>
    <w:rsid w:val="3B295232"/>
    <w:rsid w:val="3B47390A"/>
    <w:rsid w:val="3B505360"/>
    <w:rsid w:val="3B5B3C9F"/>
    <w:rsid w:val="3B6C5B5B"/>
    <w:rsid w:val="3B7A783B"/>
    <w:rsid w:val="3B800BE6"/>
    <w:rsid w:val="3B8E1539"/>
    <w:rsid w:val="3B9823B7"/>
    <w:rsid w:val="3B9A0F0E"/>
    <w:rsid w:val="3BB80364"/>
    <w:rsid w:val="3BBB7E54"/>
    <w:rsid w:val="3BC211E2"/>
    <w:rsid w:val="3BC27434"/>
    <w:rsid w:val="3BC814C0"/>
    <w:rsid w:val="3BE70C49"/>
    <w:rsid w:val="3BF375EE"/>
    <w:rsid w:val="3C0835FD"/>
    <w:rsid w:val="3C0B2B89"/>
    <w:rsid w:val="3C3A521C"/>
    <w:rsid w:val="3C3B249F"/>
    <w:rsid w:val="3C577B7C"/>
    <w:rsid w:val="3C656155"/>
    <w:rsid w:val="3C666012"/>
    <w:rsid w:val="3C6D55F2"/>
    <w:rsid w:val="3C6F1D18"/>
    <w:rsid w:val="3C7C75E3"/>
    <w:rsid w:val="3C8D220B"/>
    <w:rsid w:val="3C9963E7"/>
    <w:rsid w:val="3C9B4B8A"/>
    <w:rsid w:val="3CAD1E92"/>
    <w:rsid w:val="3CB90837"/>
    <w:rsid w:val="3CBB45AF"/>
    <w:rsid w:val="3CC316B6"/>
    <w:rsid w:val="3CCA3AC8"/>
    <w:rsid w:val="3CCA47F2"/>
    <w:rsid w:val="3CD63197"/>
    <w:rsid w:val="3CEC23BE"/>
    <w:rsid w:val="3CF4186F"/>
    <w:rsid w:val="3D0A4BEF"/>
    <w:rsid w:val="3D183C93"/>
    <w:rsid w:val="3D3305EA"/>
    <w:rsid w:val="3D5347E8"/>
    <w:rsid w:val="3D5D7415"/>
    <w:rsid w:val="3D6A38DF"/>
    <w:rsid w:val="3D757FB2"/>
    <w:rsid w:val="3D891FB8"/>
    <w:rsid w:val="3D954E00"/>
    <w:rsid w:val="3DAC056E"/>
    <w:rsid w:val="3DC079A3"/>
    <w:rsid w:val="3DD376D7"/>
    <w:rsid w:val="3DDC47DD"/>
    <w:rsid w:val="3DED69EA"/>
    <w:rsid w:val="3DF07218"/>
    <w:rsid w:val="3DF15DAF"/>
    <w:rsid w:val="3DF26BEC"/>
    <w:rsid w:val="3DF75699"/>
    <w:rsid w:val="3E045AE2"/>
    <w:rsid w:val="3E1A6173"/>
    <w:rsid w:val="3E78202C"/>
    <w:rsid w:val="3E7A5DA4"/>
    <w:rsid w:val="3E8143B4"/>
    <w:rsid w:val="3E834C59"/>
    <w:rsid w:val="3E864749"/>
    <w:rsid w:val="3EA92122"/>
    <w:rsid w:val="3EAB3319"/>
    <w:rsid w:val="3EAB41B0"/>
    <w:rsid w:val="3EAF1EF2"/>
    <w:rsid w:val="3EC86B10"/>
    <w:rsid w:val="3ED74FA5"/>
    <w:rsid w:val="3EDE19DE"/>
    <w:rsid w:val="3EE6168C"/>
    <w:rsid w:val="3EFC4A0B"/>
    <w:rsid w:val="3F093B57"/>
    <w:rsid w:val="3F116709"/>
    <w:rsid w:val="3F20694C"/>
    <w:rsid w:val="3F312907"/>
    <w:rsid w:val="3F422D66"/>
    <w:rsid w:val="3F530DC9"/>
    <w:rsid w:val="3F56236D"/>
    <w:rsid w:val="3F5B5210"/>
    <w:rsid w:val="3F961308"/>
    <w:rsid w:val="3F980BD8"/>
    <w:rsid w:val="3FA21D9D"/>
    <w:rsid w:val="3FAC311E"/>
    <w:rsid w:val="3FBB48C6"/>
    <w:rsid w:val="3FD55988"/>
    <w:rsid w:val="3FE61943"/>
    <w:rsid w:val="3FF73B50"/>
    <w:rsid w:val="4004626D"/>
    <w:rsid w:val="4050645C"/>
    <w:rsid w:val="40530248"/>
    <w:rsid w:val="405513E3"/>
    <w:rsid w:val="405C7E57"/>
    <w:rsid w:val="405F5252"/>
    <w:rsid w:val="406B3BF6"/>
    <w:rsid w:val="407F58F4"/>
    <w:rsid w:val="4081166C"/>
    <w:rsid w:val="40CF543F"/>
    <w:rsid w:val="40CF687B"/>
    <w:rsid w:val="40D55514"/>
    <w:rsid w:val="410302D3"/>
    <w:rsid w:val="4114428E"/>
    <w:rsid w:val="412070D7"/>
    <w:rsid w:val="41281AE7"/>
    <w:rsid w:val="414C7C7C"/>
    <w:rsid w:val="41635215"/>
    <w:rsid w:val="419B2CA0"/>
    <w:rsid w:val="41A25D3E"/>
    <w:rsid w:val="41A51573"/>
    <w:rsid w:val="41A6056E"/>
    <w:rsid w:val="41A970CC"/>
    <w:rsid w:val="41DF489C"/>
    <w:rsid w:val="41E06866"/>
    <w:rsid w:val="41E41EB2"/>
    <w:rsid w:val="41ED49A0"/>
    <w:rsid w:val="4230334A"/>
    <w:rsid w:val="42350960"/>
    <w:rsid w:val="423A5F76"/>
    <w:rsid w:val="424010B3"/>
    <w:rsid w:val="42434E32"/>
    <w:rsid w:val="42462B6D"/>
    <w:rsid w:val="425C0B0A"/>
    <w:rsid w:val="426C0E30"/>
    <w:rsid w:val="428E62C2"/>
    <w:rsid w:val="42957651"/>
    <w:rsid w:val="429C453B"/>
    <w:rsid w:val="42A930FC"/>
    <w:rsid w:val="42D11EF2"/>
    <w:rsid w:val="42DF4FD5"/>
    <w:rsid w:val="43171E14"/>
    <w:rsid w:val="433504EC"/>
    <w:rsid w:val="43432C09"/>
    <w:rsid w:val="434B7D0F"/>
    <w:rsid w:val="436F1C50"/>
    <w:rsid w:val="43707776"/>
    <w:rsid w:val="43923B90"/>
    <w:rsid w:val="43A6084D"/>
    <w:rsid w:val="43A72BC3"/>
    <w:rsid w:val="43B27D8E"/>
    <w:rsid w:val="43C53172"/>
    <w:rsid w:val="43CA2583"/>
    <w:rsid w:val="43EC504E"/>
    <w:rsid w:val="43EF4B3E"/>
    <w:rsid w:val="44024872"/>
    <w:rsid w:val="440F6F8F"/>
    <w:rsid w:val="44254A04"/>
    <w:rsid w:val="44557097"/>
    <w:rsid w:val="44564BBE"/>
    <w:rsid w:val="4473751E"/>
    <w:rsid w:val="447A08AC"/>
    <w:rsid w:val="447D214A"/>
    <w:rsid w:val="448434D9"/>
    <w:rsid w:val="44A75419"/>
    <w:rsid w:val="44BF2763"/>
    <w:rsid w:val="44CB0122"/>
    <w:rsid w:val="44D03ABD"/>
    <w:rsid w:val="44D53D34"/>
    <w:rsid w:val="44DA57EF"/>
    <w:rsid w:val="44DD0E3B"/>
    <w:rsid w:val="44DF046A"/>
    <w:rsid w:val="44E67CEF"/>
    <w:rsid w:val="4504286C"/>
    <w:rsid w:val="45081179"/>
    <w:rsid w:val="454315E6"/>
    <w:rsid w:val="45583241"/>
    <w:rsid w:val="45660E30"/>
    <w:rsid w:val="456D6663"/>
    <w:rsid w:val="457A48DC"/>
    <w:rsid w:val="457C4AF8"/>
    <w:rsid w:val="4597723C"/>
    <w:rsid w:val="45A74AC0"/>
    <w:rsid w:val="45A81449"/>
    <w:rsid w:val="45C94763"/>
    <w:rsid w:val="45CA5863"/>
    <w:rsid w:val="45D40490"/>
    <w:rsid w:val="45EC3A2B"/>
    <w:rsid w:val="464248BE"/>
    <w:rsid w:val="46476EB4"/>
    <w:rsid w:val="464F6917"/>
    <w:rsid w:val="4682613E"/>
    <w:rsid w:val="469D7B79"/>
    <w:rsid w:val="46A377BC"/>
    <w:rsid w:val="46BA1434"/>
    <w:rsid w:val="46CB3641"/>
    <w:rsid w:val="46CE3131"/>
    <w:rsid w:val="46D87B0C"/>
    <w:rsid w:val="46D9127C"/>
    <w:rsid w:val="46DD5122"/>
    <w:rsid w:val="46E01544"/>
    <w:rsid w:val="46E360AF"/>
    <w:rsid w:val="46F6574E"/>
    <w:rsid w:val="47013070"/>
    <w:rsid w:val="470703F1"/>
    <w:rsid w:val="47086643"/>
    <w:rsid w:val="47460F19"/>
    <w:rsid w:val="474F285A"/>
    <w:rsid w:val="47737835"/>
    <w:rsid w:val="477F442B"/>
    <w:rsid w:val="4780267D"/>
    <w:rsid w:val="478101A3"/>
    <w:rsid w:val="47B70069"/>
    <w:rsid w:val="47BC11DC"/>
    <w:rsid w:val="47C22C96"/>
    <w:rsid w:val="47C50090"/>
    <w:rsid w:val="47D046A0"/>
    <w:rsid w:val="47FB1D04"/>
    <w:rsid w:val="480D56CF"/>
    <w:rsid w:val="482C6361"/>
    <w:rsid w:val="48403BBB"/>
    <w:rsid w:val="484F3DFE"/>
    <w:rsid w:val="485B09F4"/>
    <w:rsid w:val="485D651B"/>
    <w:rsid w:val="48825F81"/>
    <w:rsid w:val="48855A71"/>
    <w:rsid w:val="488E0B11"/>
    <w:rsid w:val="48BF5427"/>
    <w:rsid w:val="48D34A2F"/>
    <w:rsid w:val="48D83DF3"/>
    <w:rsid w:val="493F0316"/>
    <w:rsid w:val="493F5E8E"/>
    <w:rsid w:val="494B2817"/>
    <w:rsid w:val="49524E19"/>
    <w:rsid w:val="49584F34"/>
    <w:rsid w:val="49832350"/>
    <w:rsid w:val="498B355B"/>
    <w:rsid w:val="49A81A17"/>
    <w:rsid w:val="49C5081B"/>
    <w:rsid w:val="49D37AE3"/>
    <w:rsid w:val="49D84A41"/>
    <w:rsid w:val="49D96075"/>
    <w:rsid w:val="49DC3DB7"/>
    <w:rsid w:val="49E47FC2"/>
    <w:rsid w:val="49FD1143"/>
    <w:rsid w:val="4A091B47"/>
    <w:rsid w:val="4A1277D9"/>
    <w:rsid w:val="4A2F4251"/>
    <w:rsid w:val="4A312FE5"/>
    <w:rsid w:val="4A370FED"/>
    <w:rsid w:val="4A3C32E7"/>
    <w:rsid w:val="4A443E36"/>
    <w:rsid w:val="4A795D9B"/>
    <w:rsid w:val="4A903541"/>
    <w:rsid w:val="4A930919"/>
    <w:rsid w:val="4A98294C"/>
    <w:rsid w:val="4AAC19DB"/>
    <w:rsid w:val="4AAC3789"/>
    <w:rsid w:val="4AC5484B"/>
    <w:rsid w:val="4AD625B4"/>
    <w:rsid w:val="4AEA6060"/>
    <w:rsid w:val="4AF32BD9"/>
    <w:rsid w:val="4B09762A"/>
    <w:rsid w:val="4B0E200C"/>
    <w:rsid w:val="4B1F21AD"/>
    <w:rsid w:val="4B49547C"/>
    <w:rsid w:val="4B4E7C4F"/>
    <w:rsid w:val="4B55797D"/>
    <w:rsid w:val="4B667DDC"/>
    <w:rsid w:val="4BA426B2"/>
    <w:rsid w:val="4BB8645E"/>
    <w:rsid w:val="4BB91563"/>
    <w:rsid w:val="4BBE3774"/>
    <w:rsid w:val="4BD25714"/>
    <w:rsid w:val="4BE96317"/>
    <w:rsid w:val="4C0250D9"/>
    <w:rsid w:val="4C0D2006"/>
    <w:rsid w:val="4C2E58E4"/>
    <w:rsid w:val="4C485734"/>
    <w:rsid w:val="4C612351"/>
    <w:rsid w:val="4C6A56AA"/>
    <w:rsid w:val="4C8E3CAD"/>
    <w:rsid w:val="4CA00EF5"/>
    <w:rsid w:val="4CA30BBC"/>
    <w:rsid w:val="4CAE0ACC"/>
    <w:rsid w:val="4CB124C5"/>
    <w:rsid w:val="4CB132D9"/>
    <w:rsid w:val="4CCC0113"/>
    <w:rsid w:val="4CCE79E7"/>
    <w:rsid w:val="4CE0596C"/>
    <w:rsid w:val="4CE76CFB"/>
    <w:rsid w:val="4D1473C4"/>
    <w:rsid w:val="4D2E2B7B"/>
    <w:rsid w:val="4D3B2BA3"/>
    <w:rsid w:val="4D422183"/>
    <w:rsid w:val="4D447CA9"/>
    <w:rsid w:val="4D50664E"/>
    <w:rsid w:val="4D550108"/>
    <w:rsid w:val="4D704F42"/>
    <w:rsid w:val="4D775ED2"/>
    <w:rsid w:val="4D810EFD"/>
    <w:rsid w:val="4D862070"/>
    <w:rsid w:val="4D92335E"/>
    <w:rsid w:val="4D994499"/>
    <w:rsid w:val="4D9B7497"/>
    <w:rsid w:val="4D9D79DA"/>
    <w:rsid w:val="4DAB5F7A"/>
    <w:rsid w:val="4E0062C6"/>
    <w:rsid w:val="4E015B9A"/>
    <w:rsid w:val="4E143B1F"/>
    <w:rsid w:val="4E147763"/>
    <w:rsid w:val="4E30022D"/>
    <w:rsid w:val="4E3A4FCB"/>
    <w:rsid w:val="4E600B13"/>
    <w:rsid w:val="4E6C395B"/>
    <w:rsid w:val="4E984EBE"/>
    <w:rsid w:val="4EA8070C"/>
    <w:rsid w:val="4EC310A1"/>
    <w:rsid w:val="4EC72940"/>
    <w:rsid w:val="4ECE3F09"/>
    <w:rsid w:val="4EE22C35"/>
    <w:rsid w:val="4EEA76C9"/>
    <w:rsid w:val="4F277882"/>
    <w:rsid w:val="4F560168"/>
    <w:rsid w:val="4F5A6B2F"/>
    <w:rsid w:val="4F5B577E"/>
    <w:rsid w:val="4F674123"/>
    <w:rsid w:val="4F701229"/>
    <w:rsid w:val="4F9C3DCC"/>
    <w:rsid w:val="4FA90297"/>
    <w:rsid w:val="4FB70C06"/>
    <w:rsid w:val="4FE13ED5"/>
    <w:rsid w:val="4FF0236A"/>
    <w:rsid w:val="4FF27E90"/>
    <w:rsid w:val="4FF359B6"/>
    <w:rsid w:val="4FFC0D0F"/>
    <w:rsid w:val="501222E0"/>
    <w:rsid w:val="5012408F"/>
    <w:rsid w:val="50131BB5"/>
    <w:rsid w:val="501A1195"/>
    <w:rsid w:val="50417BF7"/>
    <w:rsid w:val="505E72D4"/>
    <w:rsid w:val="50666188"/>
    <w:rsid w:val="50680152"/>
    <w:rsid w:val="50720FD1"/>
    <w:rsid w:val="50A05B3E"/>
    <w:rsid w:val="50A867A1"/>
    <w:rsid w:val="50B82E88"/>
    <w:rsid w:val="50CA6717"/>
    <w:rsid w:val="50D6330E"/>
    <w:rsid w:val="50E517A3"/>
    <w:rsid w:val="510D4856"/>
    <w:rsid w:val="5144296E"/>
    <w:rsid w:val="51475FBA"/>
    <w:rsid w:val="5153670D"/>
    <w:rsid w:val="515B1A65"/>
    <w:rsid w:val="515D3A2F"/>
    <w:rsid w:val="51654692"/>
    <w:rsid w:val="51825244"/>
    <w:rsid w:val="518D45B6"/>
    <w:rsid w:val="51C413B8"/>
    <w:rsid w:val="51D05FAF"/>
    <w:rsid w:val="51E97071"/>
    <w:rsid w:val="51F24178"/>
    <w:rsid w:val="51FC4FF6"/>
    <w:rsid w:val="520914C1"/>
    <w:rsid w:val="52481FEA"/>
    <w:rsid w:val="524B3888"/>
    <w:rsid w:val="526D1A50"/>
    <w:rsid w:val="52734B8D"/>
    <w:rsid w:val="527E5A0B"/>
    <w:rsid w:val="52943684"/>
    <w:rsid w:val="52A66D10"/>
    <w:rsid w:val="52BC623B"/>
    <w:rsid w:val="52D65847"/>
    <w:rsid w:val="52EA12F3"/>
    <w:rsid w:val="52FC4B82"/>
    <w:rsid w:val="531B14AC"/>
    <w:rsid w:val="531D5224"/>
    <w:rsid w:val="5325232B"/>
    <w:rsid w:val="535A6678"/>
    <w:rsid w:val="536270DB"/>
    <w:rsid w:val="53630F4A"/>
    <w:rsid w:val="53690469"/>
    <w:rsid w:val="5371731E"/>
    <w:rsid w:val="53955F69"/>
    <w:rsid w:val="539A4AC7"/>
    <w:rsid w:val="53A25729"/>
    <w:rsid w:val="53C41B44"/>
    <w:rsid w:val="53E93358"/>
    <w:rsid w:val="54181E8F"/>
    <w:rsid w:val="542425E2"/>
    <w:rsid w:val="54297BF9"/>
    <w:rsid w:val="54330A77"/>
    <w:rsid w:val="54376BC2"/>
    <w:rsid w:val="54482775"/>
    <w:rsid w:val="545C3B2A"/>
    <w:rsid w:val="54680721"/>
    <w:rsid w:val="54703A7A"/>
    <w:rsid w:val="547F1C23"/>
    <w:rsid w:val="547F3CBD"/>
    <w:rsid w:val="548B27EE"/>
    <w:rsid w:val="5492579E"/>
    <w:rsid w:val="54947206"/>
    <w:rsid w:val="549C3DB7"/>
    <w:rsid w:val="54C53DC5"/>
    <w:rsid w:val="54C87412"/>
    <w:rsid w:val="54D5680B"/>
    <w:rsid w:val="55197FB9"/>
    <w:rsid w:val="5524049C"/>
    <w:rsid w:val="552F123F"/>
    <w:rsid w:val="554051FA"/>
    <w:rsid w:val="554618F6"/>
    <w:rsid w:val="554955D0"/>
    <w:rsid w:val="554E25AE"/>
    <w:rsid w:val="555C3EC7"/>
    <w:rsid w:val="55674B67"/>
    <w:rsid w:val="55B6370E"/>
    <w:rsid w:val="55C40DE3"/>
    <w:rsid w:val="55C951EF"/>
    <w:rsid w:val="55CA71B9"/>
    <w:rsid w:val="55DC74A2"/>
    <w:rsid w:val="55E942F8"/>
    <w:rsid w:val="562951B8"/>
    <w:rsid w:val="56334D5F"/>
    <w:rsid w:val="563A433F"/>
    <w:rsid w:val="5640491C"/>
    <w:rsid w:val="56424FA2"/>
    <w:rsid w:val="56446F6C"/>
    <w:rsid w:val="564E3947"/>
    <w:rsid w:val="566C201F"/>
    <w:rsid w:val="566D0271"/>
    <w:rsid w:val="56867584"/>
    <w:rsid w:val="569772B1"/>
    <w:rsid w:val="569D042A"/>
    <w:rsid w:val="56A8574D"/>
    <w:rsid w:val="56AB0D99"/>
    <w:rsid w:val="56C67981"/>
    <w:rsid w:val="56CE6835"/>
    <w:rsid w:val="56D43325"/>
    <w:rsid w:val="56F3629C"/>
    <w:rsid w:val="56FC15F5"/>
    <w:rsid w:val="570B7A8A"/>
    <w:rsid w:val="570D1A54"/>
    <w:rsid w:val="57122BC6"/>
    <w:rsid w:val="571526B6"/>
    <w:rsid w:val="571C57F3"/>
    <w:rsid w:val="5721105B"/>
    <w:rsid w:val="57212E09"/>
    <w:rsid w:val="572D5C52"/>
    <w:rsid w:val="57312105"/>
    <w:rsid w:val="573E39BB"/>
    <w:rsid w:val="57672F12"/>
    <w:rsid w:val="576A47B0"/>
    <w:rsid w:val="57771297"/>
    <w:rsid w:val="577B69BD"/>
    <w:rsid w:val="57A001D2"/>
    <w:rsid w:val="57AE0B41"/>
    <w:rsid w:val="57BB325E"/>
    <w:rsid w:val="57F01B04"/>
    <w:rsid w:val="57F86260"/>
    <w:rsid w:val="58111AF2"/>
    <w:rsid w:val="582C6290"/>
    <w:rsid w:val="58333CB2"/>
    <w:rsid w:val="58562627"/>
    <w:rsid w:val="587D49B7"/>
    <w:rsid w:val="58A43CF2"/>
    <w:rsid w:val="58AD0DF8"/>
    <w:rsid w:val="58B91100"/>
    <w:rsid w:val="58C223CA"/>
    <w:rsid w:val="58DA3BB7"/>
    <w:rsid w:val="58F00CE5"/>
    <w:rsid w:val="58F24A5D"/>
    <w:rsid w:val="59012EF2"/>
    <w:rsid w:val="594F1EAF"/>
    <w:rsid w:val="59613991"/>
    <w:rsid w:val="59633BAD"/>
    <w:rsid w:val="596671F9"/>
    <w:rsid w:val="596D4A2C"/>
    <w:rsid w:val="59701E26"/>
    <w:rsid w:val="598D29D8"/>
    <w:rsid w:val="598F6750"/>
    <w:rsid w:val="599E2E37"/>
    <w:rsid w:val="59A33FA9"/>
    <w:rsid w:val="59A85A64"/>
    <w:rsid w:val="59A962B0"/>
    <w:rsid w:val="59AD4E28"/>
    <w:rsid w:val="59CA59DA"/>
    <w:rsid w:val="59F64A21"/>
    <w:rsid w:val="5A137381"/>
    <w:rsid w:val="5A3B68D8"/>
    <w:rsid w:val="5A405C9C"/>
    <w:rsid w:val="5A5B4884"/>
    <w:rsid w:val="5A6150CB"/>
    <w:rsid w:val="5A643739"/>
    <w:rsid w:val="5A673229"/>
    <w:rsid w:val="5A696FA1"/>
    <w:rsid w:val="5A8C0A23"/>
    <w:rsid w:val="5A8D7AF5"/>
    <w:rsid w:val="5A90726B"/>
    <w:rsid w:val="5A987886"/>
    <w:rsid w:val="5A9A35FE"/>
    <w:rsid w:val="5A9B2ED2"/>
    <w:rsid w:val="5AA12BDF"/>
    <w:rsid w:val="5AA24261"/>
    <w:rsid w:val="5AA601F5"/>
    <w:rsid w:val="5AA61FA3"/>
    <w:rsid w:val="5AB521E6"/>
    <w:rsid w:val="5ABA3CA0"/>
    <w:rsid w:val="5ACE32A8"/>
    <w:rsid w:val="5AD52888"/>
    <w:rsid w:val="5ADC3C17"/>
    <w:rsid w:val="5AF409D9"/>
    <w:rsid w:val="5AFC6067"/>
    <w:rsid w:val="5B002B19"/>
    <w:rsid w:val="5B046CCA"/>
    <w:rsid w:val="5B19492B"/>
    <w:rsid w:val="5B1A64ED"/>
    <w:rsid w:val="5B1F3B03"/>
    <w:rsid w:val="5B1F58B2"/>
    <w:rsid w:val="5B353327"/>
    <w:rsid w:val="5B48305A"/>
    <w:rsid w:val="5B5A1503"/>
    <w:rsid w:val="5B5B0FE0"/>
    <w:rsid w:val="5B7B3430"/>
    <w:rsid w:val="5B8111DF"/>
    <w:rsid w:val="5B8F0C89"/>
    <w:rsid w:val="5B9A1E40"/>
    <w:rsid w:val="5BB64468"/>
    <w:rsid w:val="5BBB7CD0"/>
    <w:rsid w:val="5BBF0CE6"/>
    <w:rsid w:val="5BD40D92"/>
    <w:rsid w:val="5BD4669C"/>
    <w:rsid w:val="5BD47B15"/>
    <w:rsid w:val="5BEC1C38"/>
    <w:rsid w:val="5BF079BD"/>
    <w:rsid w:val="5BF9175D"/>
    <w:rsid w:val="5BFE196B"/>
    <w:rsid w:val="5C02145B"/>
    <w:rsid w:val="5C163158"/>
    <w:rsid w:val="5C166550"/>
    <w:rsid w:val="5C1B076F"/>
    <w:rsid w:val="5C3D6937"/>
    <w:rsid w:val="5C4C6B7A"/>
    <w:rsid w:val="5C545A2F"/>
    <w:rsid w:val="5C6043D4"/>
    <w:rsid w:val="5C6C5A31"/>
    <w:rsid w:val="5C9D1184"/>
    <w:rsid w:val="5CD32DF8"/>
    <w:rsid w:val="5CE2128D"/>
    <w:rsid w:val="5CF4045F"/>
    <w:rsid w:val="5CF82E90"/>
    <w:rsid w:val="5CFC40FC"/>
    <w:rsid w:val="5CFE60C6"/>
    <w:rsid w:val="5D0C00B7"/>
    <w:rsid w:val="5D0D4D06"/>
    <w:rsid w:val="5D156F6C"/>
    <w:rsid w:val="5D1A4D26"/>
    <w:rsid w:val="5D355860"/>
    <w:rsid w:val="5D415FB3"/>
    <w:rsid w:val="5D4C2298"/>
    <w:rsid w:val="5D4E18AD"/>
    <w:rsid w:val="5D5E6B65"/>
    <w:rsid w:val="5DA21B1C"/>
    <w:rsid w:val="5DC07F7D"/>
    <w:rsid w:val="5DD453D2"/>
    <w:rsid w:val="5DD46E27"/>
    <w:rsid w:val="5DD471FD"/>
    <w:rsid w:val="5DE80B25"/>
    <w:rsid w:val="5E145476"/>
    <w:rsid w:val="5E1A7295"/>
    <w:rsid w:val="5E39312E"/>
    <w:rsid w:val="5E437B09"/>
    <w:rsid w:val="5E451AD3"/>
    <w:rsid w:val="5E4F4700"/>
    <w:rsid w:val="5E5341F0"/>
    <w:rsid w:val="5E655CD1"/>
    <w:rsid w:val="5E9071F2"/>
    <w:rsid w:val="5E954808"/>
    <w:rsid w:val="5EBF7821"/>
    <w:rsid w:val="5ECC7329"/>
    <w:rsid w:val="5ED13367"/>
    <w:rsid w:val="5ED57FA6"/>
    <w:rsid w:val="5EF84D97"/>
    <w:rsid w:val="5EFC15AD"/>
    <w:rsid w:val="5F2D2C93"/>
    <w:rsid w:val="5F531FCE"/>
    <w:rsid w:val="5F5A15AE"/>
    <w:rsid w:val="5F6D12E1"/>
    <w:rsid w:val="5F6E3B0D"/>
    <w:rsid w:val="5F772160"/>
    <w:rsid w:val="5FAD577A"/>
    <w:rsid w:val="5FC52ECB"/>
    <w:rsid w:val="5FCF5AF8"/>
    <w:rsid w:val="5FE727A3"/>
    <w:rsid w:val="600D6620"/>
    <w:rsid w:val="601D5D26"/>
    <w:rsid w:val="60341DFF"/>
    <w:rsid w:val="603C0CB4"/>
    <w:rsid w:val="60477D84"/>
    <w:rsid w:val="60561D75"/>
    <w:rsid w:val="607B03DD"/>
    <w:rsid w:val="60841151"/>
    <w:rsid w:val="60844B35"/>
    <w:rsid w:val="609E54CA"/>
    <w:rsid w:val="60B371C8"/>
    <w:rsid w:val="60B847DE"/>
    <w:rsid w:val="60E85AD8"/>
    <w:rsid w:val="60F92651"/>
    <w:rsid w:val="60FA4DF7"/>
    <w:rsid w:val="6118527D"/>
    <w:rsid w:val="613A3445"/>
    <w:rsid w:val="613D2F35"/>
    <w:rsid w:val="614B11AE"/>
    <w:rsid w:val="616C7742"/>
    <w:rsid w:val="617A5F38"/>
    <w:rsid w:val="61826B9A"/>
    <w:rsid w:val="61842912"/>
    <w:rsid w:val="61A82AA5"/>
    <w:rsid w:val="61EB0BE3"/>
    <w:rsid w:val="620B57BC"/>
    <w:rsid w:val="620D0B5A"/>
    <w:rsid w:val="620D2908"/>
    <w:rsid w:val="620F6680"/>
    <w:rsid w:val="622D0D14"/>
    <w:rsid w:val="62402CDD"/>
    <w:rsid w:val="62487DE4"/>
    <w:rsid w:val="62741A3C"/>
    <w:rsid w:val="62A0552A"/>
    <w:rsid w:val="62A675E2"/>
    <w:rsid w:val="62C21944"/>
    <w:rsid w:val="62D13935"/>
    <w:rsid w:val="630930CF"/>
    <w:rsid w:val="63147CC6"/>
    <w:rsid w:val="631961DD"/>
    <w:rsid w:val="633D546F"/>
    <w:rsid w:val="63520F1A"/>
    <w:rsid w:val="635D78BF"/>
    <w:rsid w:val="63625EF6"/>
    <w:rsid w:val="63716EC6"/>
    <w:rsid w:val="63750E47"/>
    <w:rsid w:val="637644DD"/>
    <w:rsid w:val="63950E07"/>
    <w:rsid w:val="639A466F"/>
    <w:rsid w:val="63ED0C43"/>
    <w:rsid w:val="63F26259"/>
    <w:rsid w:val="64032214"/>
    <w:rsid w:val="64065861"/>
    <w:rsid w:val="640F0BB9"/>
    <w:rsid w:val="64124205"/>
    <w:rsid w:val="6417181C"/>
    <w:rsid w:val="641954DE"/>
    <w:rsid w:val="64265F03"/>
    <w:rsid w:val="64395C36"/>
    <w:rsid w:val="643C74D4"/>
    <w:rsid w:val="64502F80"/>
    <w:rsid w:val="64550596"/>
    <w:rsid w:val="64622E98"/>
    <w:rsid w:val="64704CBD"/>
    <w:rsid w:val="6477675E"/>
    <w:rsid w:val="647B3F47"/>
    <w:rsid w:val="6488096B"/>
    <w:rsid w:val="64A357A5"/>
    <w:rsid w:val="64C70D25"/>
    <w:rsid w:val="64C73242"/>
    <w:rsid w:val="64DE2339"/>
    <w:rsid w:val="64EB5E98"/>
    <w:rsid w:val="64EF4547"/>
    <w:rsid w:val="64F24CF6"/>
    <w:rsid w:val="64F32289"/>
    <w:rsid w:val="65055B18"/>
    <w:rsid w:val="650B5081"/>
    <w:rsid w:val="651560C3"/>
    <w:rsid w:val="65165F77"/>
    <w:rsid w:val="65271F32"/>
    <w:rsid w:val="653D1756"/>
    <w:rsid w:val="65512720"/>
    <w:rsid w:val="65562818"/>
    <w:rsid w:val="658C7FE7"/>
    <w:rsid w:val="659C46CE"/>
    <w:rsid w:val="65A2780B"/>
    <w:rsid w:val="65C9251A"/>
    <w:rsid w:val="65C94D98"/>
    <w:rsid w:val="65E676F8"/>
    <w:rsid w:val="65FC5FC0"/>
    <w:rsid w:val="65FF6A0B"/>
    <w:rsid w:val="660B3602"/>
    <w:rsid w:val="661029C7"/>
    <w:rsid w:val="6615622F"/>
    <w:rsid w:val="661E3335"/>
    <w:rsid w:val="66285F62"/>
    <w:rsid w:val="662F5543"/>
    <w:rsid w:val="663A3EE7"/>
    <w:rsid w:val="66521231"/>
    <w:rsid w:val="665B6338"/>
    <w:rsid w:val="66613222"/>
    <w:rsid w:val="66666A8A"/>
    <w:rsid w:val="666F3B91"/>
    <w:rsid w:val="668037A8"/>
    <w:rsid w:val="66967370"/>
    <w:rsid w:val="66A71CBA"/>
    <w:rsid w:val="66AC6B93"/>
    <w:rsid w:val="66AF0CE5"/>
    <w:rsid w:val="66DE4873"/>
    <w:rsid w:val="66DF4D51"/>
    <w:rsid w:val="671D35ED"/>
    <w:rsid w:val="6721508D"/>
    <w:rsid w:val="6732696D"/>
    <w:rsid w:val="67424E02"/>
    <w:rsid w:val="674555B8"/>
    <w:rsid w:val="674C7A2E"/>
    <w:rsid w:val="6759214B"/>
    <w:rsid w:val="67717495"/>
    <w:rsid w:val="67862A72"/>
    <w:rsid w:val="67A7735B"/>
    <w:rsid w:val="67C47F0C"/>
    <w:rsid w:val="68246BFD"/>
    <w:rsid w:val="68580655"/>
    <w:rsid w:val="68602FCA"/>
    <w:rsid w:val="68701E42"/>
    <w:rsid w:val="68751207"/>
    <w:rsid w:val="68792AA5"/>
    <w:rsid w:val="68955405"/>
    <w:rsid w:val="689E42BA"/>
    <w:rsid w:val="68AD3A59"/>
    <w:rsid w:val="68BC0BE4"/>
    <w:rsid w:val="68C301C4"/>
    <w:rsid w:val="68C77CB4"/>
    <w:rsid w:val="68C87588"/>
    <w:rsid w:val="68CB7079"/>
    <w:rsid w:val="68CC3938"/>
    <w:rsid w:val="68CF0917"/>
    <w:rsid w:val="68DB7851"/>
    <w:rsid w:val="68F760C0"/>
    <w:rsid w:val="693410C2"/>
    <w:rsid w:val="693B41FE"/>
    <w:rsid w:val="69675274"/>
    <w:rsid w:val="697844CD"/>
    <w:rsid w:val="69787200"/>
    <w:rsid w:val="69855479"/>
    <w:rsid w:val="698E07D2"/>
    <w:rsid w:val="699F29DF"/>
    <w:rsid w:val="699F478D"/>
    <w:rsid w:val="69B0699A"/>
    <w:rsid w:val="69CF4947"/>
    <w:rsid w:val="69D34437"/>
    <w:rsid w:val="69E811CF"/>
    <w:rsid w:val="69FF6FDA"/>
    <w:rsid w:val="6A03656D"/>
    <w:rsid w:val="6A274D79"/>
    <w:rsid w:val="6A4E1D0F"/>
    <w:rsid w:val="6A8B4D69"/>
    <w:rsid w:val="6A916014"/>
    <w:rsid w:val="6AC344AB"/>
    <w:rsid w:val="6AE54422"/>
    <w:rsid w:val="6AF13082"/>
    <w:rsid w:val="6AFE1987"/>
    <w:rsid w:val="6B067E55"/>
    <w:rsid w:val="6B0A032C"/>
    <w:rsid w:val="6B1D7580"/>
    <w:rsid w:val="6B2B3DFF"/>
    <w:rsid w:val="6B2F1B41"/>
    <w:rsid w:val="6B3C7DBA"/>
    <w:rsid w:val="6B415125"/>
    <w:rsid w:val="6B5B46E4"/>
    <w:rsid w:val="6B6F1F3D"/>
    <w:rsid w:val="6B712159"/>
    <w:rsid w:val="6B826114"/>
    <w:rsid w:val="6B8735B1"/>
    <w:rsid w:val="6BA02A3F"/>
    <w:rsid w:val="6BBB1626"/>
    <w:rsid w:val="6BBD714D"/>
    <w:rsid w:val="6BE67574"/>
    <w:rsid w:val="6BFF1513"/>
    <w:rsid w:val="6C0703C8"/>
    <w:rsid w:val="6C0E79A8"/>
    <w:rsid w:val="6C1F5711"/>
    <w:rsid w:val="6C2947E2"/>
    <w:rsid w:val="6C335661"/>
    <w:rsid w:val="6C354F35"/>
    <w:rsid w:val="6C3E04A4"/>
    <w:rsid w:val="6C450EF0"/>
    <w:rsid w:val="6C537AB1"/>
    <w:rsid w:val="6C5E0930"/>
    <w:rsid w:val="6C892B57"/>
    <w:rsid w:val="6CBB4D89"/>
    <w:rsid w:val="6CBC77FD"/>
    <w:rsid w:val="6CBF5C31"/>
    <w:rsid w:val="6CDF1345"/>
    <w:rsid w:val="6CE801F9"/>
    <w:rsid w:val="6CFF1222"/>
    <w:rsid w:val="6D012174"/>
    <w:rsid w:val="6D1A237D"/>
    <w:rsid w:val="6D390A55"/>
    <w:rsid w:val="6D413DAD"/>
    <w:rsid w:val="6D505D9E"/>
    <w:rsid w:val="6D7E46BA"/>
    <w:rsid w:val="6D8A305E"/>
    <w:rsid w:val="6D9739CD"/>
    <w:rsid w:val="6D97577B"/>
    <w:rsid w:val="6DA66788"/>
    <w:rsid w:val="6DB147FB"/>
    <w:rsid w:val="6DE36C13"/>
    <w:rsid w:val="6DF42BCE"/>
    <w:rsid w:val="6E1B45FE"/>
    <w:rsid w:val="6E225D0B"/>
    <w:rsid w:val="6E25722B"/>
    <w:rsid w:val="6E3D4575"/>
    <w:rsid w:val="6E3F653F"/>
    <w:rsid w:val="6E423939"/>
    <w:rsid w:val="6E4A639F"/>
    <w:rsid w:val="6E573888"/>
    <w:rsid w:val="6E592619"/>
    <w:rsid w:val="6E6164B5"/>
    <w:rsid w:val="6E716558"/>
    <w:rsid w:val="6E7F2DDF"/>
    <w:rsid w:val="6E9817AB"/>
    <w:rsid w:val="6EA42846"/>
    <w:rsid w:val="6EBA5BC5"/>
    <w:rsid w:val="6EBC053F"/>
    <w:rsid w:val="6ED749C9"/>
    <w:rsid w:val="6ED924EF"/>
    <w:rsid w:val="6EDC5B3C"/>
    <w:rsid w:val="6EE42C42"/>
    <w:rsid w:val="6EF308E2"/>
    <w:rsid w:val="6F4638FD"/>
    <w:rsid w:val="6F633C29"/>
    <w:rsid w:val="6F747B34"/>
    <w:rsid w:val="6F775864"/>
    <w:rsid w:val="6F926B42"/>
    <w:rsid w:val="6F977CB5"/>
    <w:rsid w:val="6FAA0781"/>
    <w:rsid w:val="6FAB550E"/>
    <w:rsid w:val="6FAF4FFE"/>
    <w:rsid w:val="6FB13861"/>
    <w:rsid w:val="6FB24AEE"/>
    <w:rsid w:val="6FB2689C"/>
    <w:rsid w:val="6FB8461B"/>
    <w:rsid w:val="6FE7460E"/>
    <w:rsid w:val="6FEF7AF1"/>
    <w:rsid w:val="6FF73669"/>
    <w:rsid w:val="70096E04"/>
    <w:rsid w:val="70115CB9"/>
    <w:rsid w:val="702C2AF3"/>
    <w:rsid w:val="703379DD"/>
    <w:rsid w:val="704A2F79"/>
    <w:rsid w:val="705A10F7"/>
    <w:rsid w:val="70746A5A"/>
    <w:rsid w:val="707A560C"/>
    <w:rsid w:val="70814BED"/>
    <w:rsid w:val="709A7A5C"/>
    <w:rsid w:val="70B05C7B"/>
    <w:rsid w:val="70CD5B31"/>
    <w:rsid w:val="70DA60AB"/>
    <w:rsid w:val="70E17439"/>
    <w:rsid w:val="70E7214C"/>
    <w:rsid w:val="7101188A"/>
    <w:rsid w:val="710E21F8"/>
    <w:rsid w:val="712F1454"/>
    <w:rsid w:val="71630796"/>
    <w:rsid w:val="71641E18"/>
    <w:rsid w:val="71662034"/>
    <w:rsid w:val="71704C61"/>
    <w:rsid w:val="717209D9"/>
    <w:rsid w:val="71C17073"/>
    <w:rsid w:val="71C93552"/>
    <w:rsid w:val="71CD285F"/>
    <w:rsid w:val="71D13952"/>
    <w:rsid w:val="71E46B34"/>
    <w:rsid w:val="71F344E7"/>
    <w:rsid w:val="71FA177E"/>
    <w:rsid w:val="72273530"/>
    <w:rsid w:val="723B3CBA"/>
    <w:rsid w:val="72404633"/>
    <w:rsid w:val="724E1851"/>
    <w:rsid w:val="72534367"/>
    <w:rsid w:val="72575D91"/>
    <w:rsid w:val="725B5C5E"/>
    <w:rsid w:val="72640322"/>
    <w:rsid w:val="72644963"/>
    <w:rsid w:val="72B62B48"/>
    <w:rsid w:val="72B8241C"/>
    <w:rsid w:val="72E72D01"/>
    <w:rsid w:val="72F5541E"/>
    <w:rsid w:val="7306587D"/>
    <w:rsid w:val="73075151"/>
    <w:rsid w:val="730E028E"/>
    <w:rsid w:val="732E0930"/>
    <w:rsid w:val="73373C88"/>
    <w:rsid w:val="73402E3C"/>
    <w:rsid w:val="7349576A"/>
    <w:rsid w:val="735760D9"/>
    <w:rsid w:val="735A7977"/>
    <w:rsid w:val="7399224D"/>
    <w:rsid w:val="73A56E44"/>
    <w:rsid w:val="73AF1A71"/>
    <w:rsid w:val="73B54BAD"/>
    <w:rsid w:val="73B61051"/>
    <w:rsid w:val="73BC418E"/>
    <w:rsid w:val="73C05A2C"/>
    <w:rsid w:val="73C16D4D"/>
    <w:rsid w:val="73DD6D17"/>
    <w:rsid w:val="740A314B"/>
    <w:rsid w:val="74133F3F"/>
    <w:rsid w:val="741657BE"/>
    <w:rsid w:val="7420296E"/>
    <w:rsid w:val="743075B3"/>
    <w:rsid w:val="743079E6"/>
    <w:rsid w:val="745B68E1"/>
    <w:rsid w:val="747131CA"/>
    <w:rsid w:val="74890514"/>
    <w:rsid w:val="74B445E4"/>
    <w:rsid w:val="74D55507"/>
    <w:rsid w:val="74EF0A4A"/>
    <w:rsid w:val="74F911B6"/>
    <w:rsid w:val="74FB2A94"/>
    <w:rsid w:val="75047B9A"/>
    <w:rsid w:val="752C0E9F"/>
    <w:rsid w:val="75371D1E"/>
    <w:rsid w:val="75640639"/>
    <w:rsid w:val="756643B1"/>
    <w:rsid w:val="75AD6B47"/>
    <w:rsid w:val="75BA7FD9"/>
    <w:rsid w:val="75CD61DE"/>
    <w:rsid w:val="75DC4673"/>
    <w:rsid w:val="75E17EDC"/>
    <w:rsid w:val="75E35A02"/>
    <w:rsid w:val="75E672A0"/>
    <w:rsid w:val="75F23E97"/>
    <w:rsid w:val="75F748CB"/>
    <w:rsid w:val="75FC6AC3"/>
    <w:rsid w:val="76053BCA"/>
    <w:rsid w:val="76236746"/>
    <w:rsid w:val="76261D92"/>
    <w:rsid w:val="762E7505"/>
    <w:rsid w:val="76391AC6"/>
    <w:rsid w:val="765B7C8E"/>
    <w:rsid w:val="7678411E"/>
    <w:rsid w:val="76805946"/>
    <w:rsid w:val="76832D41"/>
    <w:rsid w:val="768E1E11"/>
    <w:rsid w:val="76992564"/>
    <w:rsid w:val="769A3BE4"/>
    <w:rsid w:val="76C515AB"/>
    <w:rsid w:val="76CF41D8"/>
    <w:rsid w:val="76E03371"/>
    <w:rsid w:val="76EE28B0"/>
    <w:rsid w:val="76F459ED"/>
    <w:rsid w:val="771A5453"/>
    <w:rsid w:val="771B11CB"/>
    <w:rsid w:val="772E7150"/>
    <w:rsid w:val="774B7D02"/>
    <w:rsid w:val="77536BB7"/>
    <w:rsid w:val="7755292F"/>
    <w:rsid w:val="776808B4"/>
    <w:rsid w:val="77A17922"/>
    <w:rsid w:val="77AF64E3"/>
    <w:rsid w:val="77CD73FD"/>
    <w:rsid w:val="77E43CB3"/>
    <w:rsid w:val="77EF4F5C"/>
    <w:rsid w:val="77F57C6E"/>
    <w:rsid w:val="77F87308"/>
    <w:rsid w:val="77FA5285"/>
    <w:rsid w:val="78054355"/>
    <w:rsid w:val="78056103"/>
    <w:rsid w:val="78102F6E"/>
    <w:rsid w:val="7827548D"/>
    <w:rsid w:val="782D7408"/>
    <w:rsid w:val="783C589D"/>
    <w:rsid w:val="784C049C"/>
    <w:rsid w:val="78570929"/>
    <w:rsid w:val="78610198"/>
    <w:rsid w:val="78801C2E"/>
    <w:rsid w:val="7884464F"/>
    <w:rsid w:val="788D7EA7"/>
    <w:rsid w:val="78AC2A23"/>
    <w:rsid w:val="78D15FE5"/>
    <w:rsid w:val="78D83818"/>
    <w:rsid w:val="78EF290F"/>
    <w:rsid w:val="7917273F"/>
    <w:rsid w:val="7923254F"/>
    <w:rsid w:val="796843A8"/>
    <w:rsid w:val="797A48CF"/>
    <w:rsid w:val="798474FC"/>
    <w:rsid w:val="79B00192"/>
    <w:rsid w:val="79B4336B"/>
    <w:rsid w:val="79C8388C"/>
    <w:rsid w:val="79D7587D"/>
    <w:rsid w:val="79DD6C0C"/>
    <w:rsid w:val="79EE2BC7"/>
    <w:rsid w:val="79F006ED"/>
    <w:rsid w:val="79F301DD"/>
    <w:rsid w:val="79FC7092"/>
    <w:rsid w:val="7A124B07"/>
    <w:rsid w:val="7A1B7E60"/>
    <w:rsid w:val="7A28257D"/>
    <w:rsid w:val="7A574C10"/>
    <w:rsid w:val="7A5944E4"/>
    <w:rsid w:val="7A6115EB"/>
    <w:rsid w:val="7A777060"/>
    <w:rsid w:val="7A792DD8"/>
    <w:rsid w:val="7ADE0E8D"/>
    <w:rsid w:val="7AE5221C"/>
    <w:rsid w:val="7AF608E4"/>
    <w:rsid w:val="7AF81F4F"/>
    <w:rsid w:val="7AF95CC7"/>
    <w:rsid w:val="7B0326A2"/>
    <w:rsid w:val="7B2566C0"/>
    <w:rsid w:val="7B31720F"/>
    <w:rsid w:val="7B474C85"/>
    <w:rsid w:val="7B560A24"/>
    <w:rsid w:val="7B690757"/>
    <w:rsid w:val="7B6E3FBF"/>
    <w:rsid w:val="7B8F3F36"/>
    <w:rsid w:val="7B9854E0"/>
    <w:rsid w:val="7BBC11CF"/>
    <w:rsid w:val="7BBE7F6F"/>
    <w:rsid w:val="7BE81EEB"/>
    <w:rsid w:val="7BF2699E"/>
    <w:rsid w:val="7BF80595"/>
    <w:rsid w:val="7C0466D2"/>
    <w:rsid w:val="7C113E0C"/>
    <w:rsid w:val="7C352D2F"/>
    <w:rsid w:val="7C3A0345"/>
    <w:rsid w:val="7C58780F"/>
    <w:rsid w:val="7C620441"/>
    <w:rsid w:val="7C7B7C0A"/>
    <w:rsid w:val="7C9F06E9"/>
    <w:rsid w:val="7CC02290"/>
    <w:rsid w:val="7CC04CEF"/>
    <w:rsid w:val="7CEC1490"/>
    <w:rsid w:val="7D034BDB"/>
    <w:rsid w:val="7D1421DF"/>
    <w:rsid w:val="7D250FF6"/>
    <w:rsid w:val="7D536558"/>
    <w:rsid w:val="7D5E0064"/>
    <w:rsid w:val="7D6C2781"/>
    <w:rsid w:val="7D943A85"/>
    <w:rsid w:val="7DA15AAF"/>
    <w:rsid w:val="7DD10836"/>
    <w:rsid w:val="7DEB7B49"/>
    <w:rsid w:val="7DF033B2"/>
    <w:rsid w:val="7E002EC9"/>
    <w:rsid w:val="7E064983"/>
    <w:rsid w:val="7E3239CA"/>
    <w:rsid w:val="7E553E73"/>
    <w:rsid w:val="7E7A0ECD"/>
    <w:rsid w:val="7EA06B86"/>
    <w:rsid w:val="7EA146AC"/>
    <w:rsid w:val="7EAB552B"/>
    <w:rsid w:val="7EB048EF"/>
    <w:rsid w:val="7EC65EC0"/>
    <w:rsid w:val="7EFC5D86"/>
    <w:rsid w:val="7F160BF6"/>
    <w:rsid w:val="7F4C0ABC"/>
    <w:rsid w:val="7F671451"/>
    <w:rsid w:val="7F762FA4"/>
    <w:rsid w:val="7F930498"/>
    <w:rsid w:val="7F954211"/>
    <w:rsid w:val="7F962B54"/>
    <w:rsid w:val="7FA73F44"/>
    <w:rsid w:val="7FB421BD"/>
    <w:rsid w:val="7FBC4580"/>
    <w:rsid w:val="7FC56178"/>
    <w:rsid w:val="7FD10B43"/>
    <w:rsid w:val="7FD8234F"/>
    <w:rsid w:val="7FE07E8D"/>
    <w:rsid w:val="7FE9630A"/>
    <w:rsid w:val="7FF802F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7"/>
    <w:qFormat/>
    <w:uiPriority w:val="99"/>
    <w:pPr>
      <w:keepNext/>
      <w:keepLines/>
      <w:spacing w:before="340" w:after="330" w:line="578" w:lineRule="auto"/>
      <w:outlineLvl w:val="0"/>
    </w:pPr>
    <w:rPr>
      <w:rFonts w:ascii="Times New Roman" w:hAnsi="Times New Roman" w:eastAsia="黑体" w:cs="Arial"/>
      <w:b/>
      <w:bCs/>
      <w:kern w:val="44"/>
      <w:sz w:val="28"/>
      <w:szCs w:val="44"/>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paragraph" w:styleId="5">
    <w:name w:val="heading 4"/>
    <w:basedOn w:val="1"/>
    <w:next w:val="1"/>
    <w:link w:val="19"/>
    <w:qFormat/>
    <w:uiPriority w:val="99"/>
    <w:pPr>
      <w:keepNext/>
      <w:keepLines/>
      <w:spacing w:before="280" w:after="290" w:line="376" w:lineRule="auto"/>
      <w:outlineLvl w:val="3"/>
    </w:pPr>
    <w:rPr>
      <w:rFonts w:ascii="等线 Light" w:hAnsi="等线 Light" w:eastAsia="等线 Light"/>
      <w:b/>
      <w:bCs/>
      <w:sz w:val="28"/>
      <w:szCs w:val="28"/>
    </w:rPr>
  </w:style>
  <w:style w:type="character" w:default="1" w:styleId="15">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阳"/>
    <w:basedOn w:val="1"/>
    <w:qFormat/>
    <w:uiPriority w:val="0"/>
    <w:pPr>
      <w:spacing w:line="570" w:lineRule="exact"/>
      <w:ind w:firstLine="640" w:firstLineChars="200"/>
      <w:jc w:val="left"/>
    </w:pPr>
    <w:rPr>
      <w:rFonts w:hint="eastAsia" w:ascii="仿宋" w:hAnsi="仿宋" w:eastAsia="方正仿宋_GBK"/>
      <w:spacing w:val="1"/>
      <w:kern w:val="2"/>
    </w:rPr>
  </w:style>
  <w:style w:type="paragraph" w:styleId="6">
    <w:name w:val="Normal Indent"/>
    <w:basedOn w:val="1"/>
    <w:qFormat/>
    <w:uiPriority w:val="99"/>
    <w:pPr>
      <w:ind w:firstLine="420"/>
    </w:pPr>
    <w:rPr>
      <w:rFonts w:ascii="Times New Roman" w:hAnsi="Times New Roman" w:eastAsia="仿宋_GB2312"/>
      <w:sz w:val="24"/>
      <w:szCs w:val="20"/>
    </w:rPr>
  </w:style>
  <w:style w:type="paragraph" w:styleId="7">
    <w:name w:val="Document Map"/>
    <w:basedOn w:val="1"/>
    <w:link w:val="20"/>
    <w:semiHidden/>
    <w:qFormat/>
    <w:uiPriority w:val="99"/>
    <w:rPr>
      <w:rFonts w:ascii="宋体" w:eastAsia="宋体"/>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locked/>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99"/>
    <w:rPr>
      <w:rFonts w:cs="Times New Roman"/>
      <w:color w:val="0563C1"/>
      <w:u w:val="single"/>
    </w:rPr>
  </w:style>
  <w:style w:type="character" w:customStyle="1" w:styleId="17">
    <w:name w:val="Heading 1 Char"/>
    <w:basedOn w:val="15"/>
    <w:link w:val="3"/>
    <w:qFormat/>
    <w:locked/>
    <w:uiPriority w:val="99"/>
    <w:rPr>
      <w:rFonts w:ascii="Times New Roman" w:hAnsi="Times New Roman" w:eastAsia="黑体" w:cs="Arial"/>
      <w:b/>
      <w:bCs/>
      <w:kern w:val="44"/>
      <w:sz w:val="44"/>
      <w:szCs w:val="44"/>
    </w:rPr>
  </w:style>
  <w:style w:type="character" w:customStyle="1" w:styleId="18">
    <w:name w:val="Heading 3 Char"/>
    <w:basedOn w:val="15"/>
    <w:link w:val="4"/>
    <w:semiHidden/>
    <w:qFormat/>
    <w:locked/>
    <w:uiPriority w:val="99"/>
    <w:rPr>
      <w:rFonts w:ascii="等线" w:hAnsi="等线" w:eastAsia="等线" w:cs="Times New Roman"/>
      <w:b/>
      <w:bCs/>
      <w:kern w:val="2"/>
      <w:sz w:val="32"/>
      <w:szCs w:val="32"/>
    </w:rPr>
  </w:style>
  <w:style w:type="character" w:customStyle="1" w:styleId="19">
    <w:name w:val="Heading 4 Char"/>
    <w:basedOn w:val="15"/>
    <w:link w:val="5"/>
    <w:semiHidden/>
    <w:qFormat/>
    <w:locked/>
    <w:uiPriority w:val="99"/>
    <w:rPr>
      <w:rFonts w:ascii="等线 Light" w:hAnsi="等线 Light" w:eastAsia="等线 Light" w:cs="Times New Roman"/>
      <w:b/>
      <w:bCs/>
      <w:kern w:val="2"/>
      <w:sz w:val="28"/>
      <w:szCs w:val="28"/>
    </w:rPr>
  </w:style>
  <w:style w:type="character" w:customStyle="1" w:styleId="20">
    <w:name w:val="Document Map Char"/>
    <w:basedOn w:val="15"/>
    <w:link w:val="7"/>
    <w:semiHidden/>
    <w:qFormat/>
    <w:locked/>
    <w:uiPriority w:val="99"/>
    <w:rPr>
      <w:rFonts w:ascii="宋体" w:hAnsi="等线" w:cs="Times New Roman"/>
      <w:kern w:val="2"/>
      <w:sz w:val="18"/>
      <w:szCs w:val="18"/>
    </w:rPr>
  </w:style>
  <w:style w:type="character" w:customStyle="1" w:styleId="21">
    <w:name w:val="Footer Char"/>
    <w:basedOn w:val="15"/>
    <w:link w:val="8"/>
    <w:qFormat/>
    <w:locked/>
    <w:uiPriority w:val="99"/>
    <w:rPr>
      <w:rFonts w:cs="Times New Roman"/>
      <w:sz w:val="18"/>
      <w:szCs w:val="18"/>
    </w:rPr>
  </w:style>
  <w:style w:type="character" w:customStyle="1" w:styleId="22">
    <w:name w:val="Header Char"/>
    <w:basedOn w:val="15"/>
    <w:link w:val="9"/>
    <w:qFormat/>
    <w:locked/>
    <w:uiPriority w:val="99"/>
    <w:rPr>
      <w:rFonts w:cs="Times New Roman"/>
      <w:sz w:val="18"/>
      <w:szCs w:val="18"/>
    </w:rPr>
  </w:style>
  <w:style w:type="paragraph" w:customStyle="1" w:styleId="23">
    <w:name w:val="Default"/>
    <w:qFormat/>
    <w:uiPriority w:val="99"/>
    <w:pPr>
      <w:widowControl w:val="0"/>
      <w:autoSpaceDE w:val="0"/>
      <w:autoSpaceDN w:val="0"/>
      <w:adjustRightInd w:val="0"/>
    </w:pPr>
    <w:rPr>
      <w:rFonts w:ascii="HYb2gj" w:hAnsi="Times New Roman" w:eastAsia="HYb2gj" w:cs="HYb2gj"/>
      <w:color w:val="000000"/>
      <w:kern w:val="0"/>
      <w:sz w:val="24"/>
      <w:szCs w:val="24"/>
      <w:lang w:val="en-US" w:eastAsia="zh-CN" w:bidi="ar-SA"/>
    </w:rPr>
  </w:style>
  <w:style w:type="paragraph" w:customStyle="1" w:styleId="24">
    <w:name w:val="列表段落1"/>
    <w:basedOn w:val="1"/>
    <w:qFormat/>
    <w:uiPriority w:val="99"/>
    <w:pPr>
      <w:ind w:firstLine="420" w:firstLineChars="200"/>
    </w:pPr>
  </w:style>
  <w:style w:type="paragraph" w:customStyle="1" w:styleId="25">
    <w:name w:val="表头"/>
    <w:basedOn w:val="1"/>
    <w:qFormat/>
    <w:uiPriority w:val="99"/>
    <w:pPr>
      <w:adjustRightInd w:val="0"/>
      <w:snapToGrid w:val="0"/>
      <w:jc w:val="center"/>
      <w:textAlignment w:val="baseline"/>
    </w:pPr>
    <w:rPr>
      <w:rFonts w:ascii="黑体" w:hAnsi="Times New Roman" w:eastAsia="黑体"/>
      <w:b/>
      <w:spacing w:val="8"/>
      <w:kern w:val="24"/>
      <w:szCs w:val="21"/>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character" w:customStyle="1" w:styleId="28">
    <w:name w:val="font11"/>
    <w:basedOn w:val="1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32</Pages>
  <Words>12405</Words>
  <Characters>13263</Characters>
  <Lines>0</Lines>
  <Paragraphs>0</Paragraphs>
  <TotalTime>1</TotalTime>
  <ScaleCrop>false</ScaleCrop>
  <LinksUpToDate>false</LinksUpToDate>
  <CharactersWithSpaces>13442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2022-08-03T12:16:00Z</dcterms:created>
  <dc:creator>ThinkPad</dc:creator>
  <cp:lastModifiedBy>Administrator</cp:lastModifiedBy>
  <cp:lastPrinted>2024-03-18T02:36:40Z</cp:lastPrinted>
  <dcterms:modified xsi:type="dcterms:W3CDTF">2024-03-18T02:36:45Z</dcterms:modified>
  <dc:title>疏附县吾库萨克镇7村-托克扎克镇4村-萨依巴格乡10村道路建设项目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5689041C8AC7467A8253A07087BE3D11</vt:lpwstr>
  </property>
</Properties>
</file>