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r>
        <w:rPr>
          <w:rFonts w:hint="eastAsia" w:ascii="仿宋" w:hAnsi="仿宋" w:eastAsia="仿宋" w:cs="仿宋"/>
          <w:spacing w:val="6"/>
          <w:sz w:val="52"/>
          <w:szCs w:val="52"/>
          <w:lang w:eastAsia="zh-CN"/>
        </w:rPr>
        <w:t>麦盖提县2023年昂格特克勒克乡桥梁建设以工代赈示范工程</w:t>
      </w:r>
      <w:r>
        <w:rPr>
          <w:rFonts w:hint="eastAsia" w:ascii="仿宋" w:hAnsi="仿宋" w:eastAsia="仿宋" w:cs="仿宋"/>
          <w:spacing w:val="6"/>
          <w:sz w:val="52"/>
          <w:szCs w:val="52"/>
        </w:rPr>
        <w:t>实施方案</w:t>
      </w: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Style w:val="2"/>
        <w:rPr>
          <w:rFonts w:hint="eastAsia" w:ascii="仿宋" w:hAnsi="仿宋" w:eastAsia="仿宋" w:cs="仿宋"/>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Style w:val="2"/>
        <w:pageBreakBefore w:val="0"/>
        <w:kinsoku/>
        <w:wordWrap/>
        <w:overflowPunct/>
        <w:topLinePunct w:val="0"/>
        <w:bidi w:val="0"/>
        <w:spacing w:line="570" w:lineRule="exact"/>
        <w:rPr>
          <w:rFonts w:hint="eastAsia" w:ascii="仿宋" w:hAnsi="仿宋" w:eastAsia="仿宋" w:cs="仿宋"/>
          <w:spacing w:val="6"/>
          <w:sz w:val="44"/>
          <w:szCs w:val="44"/>
        </w:rPr>
      </w:pPr>
    </w:p>
    <w:p>
      <w:pPr>
        <w:pStyle w:val="2"/>
        <w:pageBreakBefore w:val="0"/>
        <w:kinsoku/>
        <w:wordWrap/>
        <w:overflowPunct/>
        <w:topLinePunct w:val="0"/>
        <w:bidi w:val="0"/>
        <w:spacing w:line="570" w:lineRule="exact"/>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ind w:left="3601" w:leftChars="608" w:hanging="2324" w:hangingChars="70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项目名称：</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lang w:val="en-US" w:eastAsia="zh-CN"/>
        </w:rPr>
        <w:t>2023年</w:t>
      </w:r>
      <w:r>
        <w:rPr>
          <w:rFonts w:hint="eastAsia" w:ascii="仿宋" w:hAnsi="仿宋" w:eastAsia="仿宋" w:cs="仿宋"/>
          <w:spacing w:val="6"/>
          <w:sz w:val="32"/>
          <w:szCs w:val="32"/>
          <w:lang w:eastAsia="zh-CN"/>
        </w:rPr>
        <w:t>昂格特克勒克乡桥梁建设以工代赈示范工程</w:t>
      </w:r>
    </w:p>
    <w:p>
      <w:pPr>
        <w:pageBreakBefore w:val="0"/>
        <w:kinsoku/>
        <w:wordWrap/>
        <w:overflowPunct/>
        <w:topLinePunct w:val="0"/>
        <w:bidi w:val="0"/>
        <w:snapToGrid w:val="0"/>
        <w:spacing w:line="570" w:lineRule="exact"/>
        <w:ind w:firstLine="1328" w:firstLineChars="4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项目主管单位：麦盖提县交通运输局</w:t>
      </w:r>
    </w:p>
    <w:p>
      <w:pPr>
        <w:pageBreakBefore w:val="0"/>
        <w:kinsoku/>
        <w:wordWrap/>
        <w:overflowPunct/>
        <w:topLinePunct w:val="0"/>
        <w:bidi w:val="0"/>
        <w:snapToGrid w:val="0"/>
        <w:spacing w:line="570" w:lineRule="exact"/>
        <w:ind w:firstLine="1328" w:firstLineChars="400"/>
        <w:textAlignment w:val="baseline"/>
        <w:rPr>
          <w:rFonts w:hint="eastAsia" w:ascii="仿宋" w:hAnsi="仿宋" w:eastAsia="仿宋" w:cs="仿宋"/>
          <w:color w:val="000000"/>
          <w:spacing w:val="6"/>
          <w:sz w:val="30"/>
          <w:szCs w:val="30"/>
        </w:rPr>
      </w:pPr>
      <w:r>
        <w:rPr>
          <w:rFonts w:hint="eastAsia" w:ascii="仿宋" w:hAnsi="仿宋" w:eastAsia="仿宋" w:cs="仿宋"/>
          <w:spacing w:val="6"/>
          <w:sz w:val="32"/>
          <w:szCs w:val="32"/>
        </w:rPr>
        <w:t>项目实施单位：</w:t>
      </w:r>
      <w:r>
        <w:rPr>
          <w:rFonts w:hint="eastAsia" w:ascii="仿宋" w:hAnsi="仿宋" w:eastAsia="仿宋" w:cs="仿宋"/>
          <w:color w:val="000000"/>
          <w:spacing w:val="6"/>
          <w:sz w:val="30"/>
          <w:szCs w:val="30"/>
        </w:rPr>
        <w:t>麦盖提县农村公路建设养护所</w:t>
      </w:r>
    </w:p>
    <w:p>
      <w:pPr>
        <w:pStyle w:val="2"/>
        <w:pageBreakBefore w:val="0"/>
        <w:kinsoku/>
        <w:wordWrap/>
        <w:overflowPunct/>
        <w:topLinePunct w:val="0"/>
        <w:bidi w:val="0"/>
        <w:spacing w:line="570" w:lineRule="exact"/>
        <w:ind w:firstLine="1328" w:firstLineChars="400"/>
        <w:rPr>
          <w:rFonts w:hint="eastAsia" w:ascii="仿宋" w:hAnsi="仿宋" w:eastAsia="仿宋" w:cs="仿宋"/>
          <w:spacing w:val="6"/>
          <w:sz w:val="32"/>
          <w:szCs w:val="32"/>
        </w:rPr>
      </w:pPr>
      <w:r>
        <w:rPr>
          <w:rFonts w:hint="eastAsia" w:ascii="仿宋" w:hAnsi="仿宋" w:eastAsia="仿宋" w:cs="仿宋"/>
          <w:spacing w:val="6"/>
          <w:sz w:val="32"/>
          <w:szCs w:val="32"/>
        </w:rPr>
        <w:t>编制</w:t>
      </w:r>
      <w:r>
        <w:rPr>
          <w:rFonts w:hint="eastAsia" w:ascii="仿宋" w:hAnsi="仿宋" w:eastAsia="仿宋" w:cs="仿宋"/>
          <w:spacing w:val="6"/>
          <w:sz w:val="32"/>
          <w:szCs w:val="32"/>
          <w:lang w:eastAsia="zh-CN"/>
        </w:rPr>
        <w:t>单位：</w:t>
      </w:r>
      <w:r>
        <w:rPr>
          <w:rFonts w:hint="eastAsia" w:ascii="仿宋" w:hAnsi="仿宋" w:eastAsia="仿宋" w:cs="仿宋"/>
          <w:color w:val="000000"/>
          <w:spacing w:val="6"/>
          <w:kern w:val="2"/>
          <w:sz w:val="30"/>
          <w:szCs w:val="30"/>
          <w:lang w:val="en-US" w:eastAsia="zh-CN" w:bidi="ar-SA"/>
        </w:rPr>
        <w:t>乌鲁木齐中建广通勘察设计有限公司</w:t>
      </w:r>
    </w:p>
    <w:p>
      <w:pPr>
        <w:pageBreakBefore w:val="0"/>
        <w:kinsoku/>
        <w:wordWrap/>
        <w:overflowPunct/>
        <w:topLinePunct w:val="0"/>
        <w:bidi w:val="0"/>
        <w:snapToGrid w:val="0"/>
        <w:spacing w:line="570" w:lineRule="exact"/>
        <w:ind w:firstLine="1328" w:firstLineChars="400"/>
        <w:textAlignment w:val="baseline"/>
        <w:rPr>
          <w:rFonts w:hint="eastAsia" w:ascii="仿宋" w:hAnsi="仿宋" w:eastAsia="仿宋" w:cs="仿宋"/>
          <w:spacing w:val="6"/>
          <w:sz w:val="44"/>
          <w:szCs w:val="44"/>
        </w:rPr>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titlePg/>
          <w:docGrid w:linePitch="286" w:charSpace="0"/>
        </w:sectPr>
      </w:pPr>
      <w:r>
        <w:rPr>
          <w:rFonts w:hint="eastAsia" w:ascii="仿宋" w:hAnsi="仿宋" w:eastAsia="仿宋" w:cs="仿宋"/>
          <w:spacing w:val="6"/>
          <w:sz w:val="32"/>
          <w:szCs w:val="32"/>
        </w:rPr>
        <w:t>编制时间：2022年</w:t>
      </w:r>
      <w:r>
        <w:rPr>
          <w:rFonts w:hint="eastAsia" w:ascii="仿宋" w:hAnsi="仿宋" w:eastAsia="仿宋" w:cs="仿宋"/>
          <w:spacing w:val="6"/>
          <w:sz w:val="32"/>
          <w:szCs w:val="32"/>
          <w:lang w:val="en-US" w:eastAsia="zh-CN"/>
        </w:rPr>
        <w:t>9月</w:t>
      </w:r>
    </w:p>
    <w:p>
      <w:pPr>
        <w:pageBreakBefore w:val="0"/>
        <w:kinsoku/>
        <w:wordWrap/>
        <w:overflowPunct/>
        <w:topLinePunct w:val="0"/>
        <w:bidi w:val="0"/>
        <w:spacing w:before="0" w:beforeLines="0" w:after="0" w:afterLines="0" w:line="570" w:lineRule="exact"/>
        <w:ind w:left="0" w:leftChars="0" w:right="0" w:rightChars="0" w:firstLine="0" w:firstLineChars="0"/>
        <w:jc w:val="center"/>
        <w:rPr>
          <w:rFonts w:hint="eastAsia" w:ascii="仿宋" w:hAnsi="仿宋" w:eastAsia="仿宋" w:cs="仿宋"/>
          <w:sz w:val="56"/>
          <w:szCs w:val="72"/>
        </w:rPr>
      </w:pPr>
      <w:r>
        <w:rPr>
          <w:rFonts w:hint="eastAsia" w:ascii="仿宋" w:hAnsi="仿宋" w:eastAsia="仿宋" w:cs="仿宋"/>
          <w:sz w:val="56"/>
          <w:szCs w:val="72"/>
        </w:rPr>
        <w:t>目录</w:t>
      </w:r>
    </w:p>
    <w:p>
      <w:pPr>
        <w:pStyle w:val="10"/>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_Toc10736 </w:instrText>
      </w:r>
      <w:r>
        <w:rPr>
          <w:rFonts w:hint="eastAsia" w:ascii="仿宋" w:hAnsi="仿宋" w:eastAsia="仿宋" w:cs="仿宋"/>
        </w:rPr>
        <w:fldChar w:fldCharType="separate"/>
      </w:r>
      <w:r>
        <w:rPr>
          <w:rFonts w:hint="eastAsia" w:ascii="仿宋" w:hAnsi="仿宋" w:eastAsia="仿宋" w:cs="仿宋"/>
          <w:bCs/>
          <w:spacing w:val="6"/>
          <w:szCs w:val="32"/>
        </w:rPr>
        <w:t>1.基本情况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_Toc10736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pPr>
        <w:pStyle w:val="10"/>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_Toc25253 </w:instrText>
      </w:r>
      <w:r>
        <w:rPr>
          <w:rFonts w:hint="eastAsia" w:ascii="仿宋" w:hAnsi="仿宋" w:eastAsia="仿宋" w:cs="仿宋"/>
        </w:rPr>
        <w:fldChar w:fldCharType="separate"/>
      </w:r>
      <w:r>
        <w:rPr>
          <w:rFonts w:hint="eastAsia" w:ascii="仿宋" w:hAnsi="仿宋" w:eastAsia="仿宋" w:cs="仿宋"/>
          <w:bCs/>
          <w:spacing w:val="6"/>
          <w:szCs w:val="32"/>
        </w:rPr>
        <w:t>2.项目情况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_Toc25253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_Toc11566 </w:instrText>
      </w:r>
      <w:r>
        <w:rPr>
          <w:rFonts w:hint="eastAsia" w:ascii="仿宋" w:hAnsi="仿宋" w:eastAsia="仿宋" w:cs="仿宋"/>
        </w:rPr>
        <w:fldChar w:fldCharType="separate"/>
      </w:r>
      <w:r>
        <w:rPr>
          <w:rFonts w:hint="eastAsia" w:ascii="仿宋" w:hAnsi="仿宋" w:eastAsia="仿宋" w:cs="仿宋"/>
          <w:bCs/>
          <w:spacing w:val="6"/>
          <w:szCs w:val="32"/>
        </w:rPr>
        <w:t>2.1项目建设依据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_Toc11566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_Toc15369 </w:instrText>
      </w:r>
      <w:r>
        <w:rPr>
          <w:rFonts w:hint="eastAsia" w:ascii="仿宋" w:hAnsi="仿宋" w:eastAsia="仿宋" w:cs="仿宋"/>
        </w:rPr>
        <w:fldChar w:fldCharType="separate"/>
      </w:r>
      <w:r>
        <w:rPr>
          <w:rFonts w:hint="eastAsia" w:ascii="仿宋" w:hAnsi="仿宋" w:eastAsia="仿宋" w:cs="仿宋"/>
          <w:bCs/>
          <w:spacing w:val="6"/>
          <w:szCs w:val="32"/>
        </w:rPr>
        <w:t>2.2</w:t>
      </w:r>
      <w:r>
        <w:rPr>
          <w:rFonts w:hint="eastAsia" w:ascii="仿宋" w:hAnsi="仿宋" w:eastAsia="仿宋" w:cs="仿宋"/>
          <w:bCs/>
          <w:spacing w:val="6"/>
          <w:szCs w:val="32"/>
          <w:lang w:eastAsia="zh-CN"/>
        </w:rPr>
        <w:t>项目</w:t>
      </w:r>
      <w:r>
        <w:rPr>
          <w:rFonts w:hint="eastAsia" w:ascii="仿宋" w:hAnsi="仿宋" w:eastAsia="仿宋" w:cs="仿宋"/>
          <w:bCs/>
          <w:spacing w:val="6"/>
          <w:szCs w:val="32"/>
        </w:rPr>
        <w:t>的建设内容及规模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_Toc15369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_Toc7876 </w:instrText>
      </w:r>
      <w:r>
        <w:rPr>
          <w:rFonts w:hint="eastAsia" w:ascii="仿宋" w:hAnsi="仿宋" w:eastAsia="仿宋" w:cs="仿宋"/>
        </w:rPr>
        <w:fldChar w:fldCharType="separate"/>
      </w:r>
      <w:r>
        <w:rPr>
          <w:rFonts w:hint="eastAsia" w:ascii="仿宋" w:hAnsi="仿宋" w:eastAsia="仿宋" w:cs="仿宋"/>
          <w:bCs/>
          <w:spacing w:val="6"/>
          <w:szCs w:val="32"/>
        </w:rPr>
        <w:t>2.3项目建设的必要性和可行性</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_Toc7876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_Toc30879 </w:instrText>
      </w:r>
      <w:r>
        <w:rPr>
          <w:rFonts w:hint="eastAsia" w:ascii="仿宋" w:hAnsi="仿宋" w:eastAsia="仿宋" w:cs="仿宋"/>
        </w:rPr>
        <w:fldChar w:fldCharType="separate"/>
      </w:r>
      <w:r>
        <w:rPr>
          <w:rFonts w:hint="eastAsia" w:ascii="仿宋" w:hAnsi="仿宋" w:eastAsia="仿宋" w:cs="仿宋"/>
          <w:bCs/>
          <w:spacing w:val="6"/>
          <w:szCs w:val="32"/>
        </w:rPr>
        <w:t>2.4综合条件评价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_Toc30879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pPr>
        <w:pStyle w:val="10"/>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_Toc5395 </w:instrText>
      </w:r>
      <w:r>
        <w:rPr>
          <w:rFonts w:hint="eastAsia" w:ascii="仿宋" w:hAnsi="仿宋" w:eastAsia="仿宋" w:cs="仿宋"/>
        </w:rPr>
        <w:fldChar w:fldCharType="separate"/>
      </w:r>
      <w:r>
        <w:rPr>
          <w:rFonts w:hint="eastAsia" w:ascii="仿宋" w:hAnsi="仿宋" w:eastAsia="仿宋" w:cs="仿宋"/>
          <w:bCs/>
          <w:spacing w:val="6"/>
          <w:szCs w:val="32"/>
        </w:rPr>
        <w:t>3.施工设计（设计或技术方案）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_Toc5395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_Toc28953 </w:instrText>
      </w:r>
      <w:r>
        <w:rPr>
          <w:rFonts w:hint="eastAsia" w:ascii="仿宋" w:hAnsi="仿宋" w:eastAsia="仿宋" w:cs="仿宋"/>
        </w:rPr>
        <w:fldChar w:fldCharType="separate"/>
      </w:r>
      <w:r>
        <w:rPr>
          <w:rFonts w:hint="eastAsia" w:ascii="仿宋" w:hAnsi="仿宋" w:eastAsia="仿宋" w:cs="仿宋"/>
          <w:bCs/>
          <w:spacing w:val="6"/>
          <w:szCs w:val="32"/>
        </w:rPr>
        <w:t>3.1项目设计（技术依据）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_Toc28953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_Toc31382 </w:instrText>
      </w:r>
      <w:r>
        <w:rPr>
          <w:rFonts w:hint="eastAsia" w:ascii="仿宋" w:hAnsi="仿宋" w:eastAsia="仿宋" w:cs="仿宋"/>
        </w:rPr>
        <w:fldChar w:fldCharType="separate"/>
      </w:r>
      <w:r>
        <w:rPr>
          <w:rFonts w:hint="eastAsia" w:ascii="仿宋" w:hAnsi="仿宋" w:eastAsia="仿宋" w:cs="仿宋"/>
          <w:spacing w:val="6"/>
          <w:szCs w:val="32"/>
        </w:rPr>
        <w:t>3.2建设内容、规模、标准、投资设计等明细资料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_Toc31382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pPr>
        <w:pStyle w:val="10"/>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_Toc12389 </w:instrText>
      </w:r>
      <w:r>
        <w:rPr>
          <w:rFonts w:hint="eastAsia" w:ascii="仿宋" w:hAnsi="仿宋" w:eastAsia="仿宋" w:cs="仿宋"/>
        </w:rPr>
        <w:fldChar w:fldCharType="separate"/>
      </w:r>
      <w:r>
        <w:rPr>
          <w:rFonts w:hint="eastAsia" w:ascii="仿宋" w:hAnsi="仿宋" w:eastAsia="仿宋" w:cs="仿宋"/>
          <w:spacing w:val="6"/>
          <w:szCs w:val="32"/>
        </w:rPr>
        <w:t>4.投资概算和资金筹措</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_Toc12389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_Toc22357 </w:instrText>
      </w:r>
      <w:r>
        <w:rPr>
          <w:rFonts w:hint="eastAsia" w:ascii="仿宋" w:hAnsi="仿宋" w:eastAsia="仿宋" w:cs="仿宋"/>
        </w:rPr>
        <w:fldChar w:fldCharType="separate"/>
      </w:r>
      <w:r>
        <w:rPr>
          <w:rFonts w:hint="eastAsia" w:ascii="仿宋" w:hAnsi="仿宋" w:eastAsia="仿宋" w:cs="仿宋"/>
          <w:bCs/>
          <w:spacing w:val="6"/>
          <w:szCs w:val="32"/>
        </w:rPr>
        <w:t>4.1项目总投资</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_Toc22357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_Toc3036 </w:instrText>
      </w:r>
      <w:r>
        <w:rPr>
          <w:rFonts w:hint="eastAsia" w:ascii="仿宋" w:hAnsi="仿宋" w:eastAsia="仿宋" w:cs="仿宋"/>
        </w:rPr>
        <w:fldChar w:fldCharType="separate"/>
      </w:r>
      <w:r>
        <w:rPr>
          <w:rFonts w:hint="eastAsia" w:ascii="仿宋" w:hAnsi="仿宋" w:eastAsia="仿宋" w:cs="仿宋"/>
          <w:bCs/>
          <w:spacing w:val="6"/>
          <w:szCs w:val="32"/>
        </w:rPr>
        <w:t>4.2资金筹措</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_Toc3036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_Toc10995 </w:instrText>
      </w:r>
      <w:r>
        <w:rPr>
          <w:rFonts w:hint="eastAsia" w:ascii="仿宋" w:hAnsi="仿宋" w:eastAsia="仿宋" w:cs="仿宋"/>
        </w:rPr>
        <w:fldChar w:fldCharType="separate"/>
      </w:r>
      <w:r>
        <w:rPr>
          <w:rFonts w:hint="eastAsia" w:ascii="仿宋" w:hAnsi="仿宋" w:eastAsia="仿宋" w:cs="仿宋"/>
          <w:bCs/>
          <w:spacing w:val="6"/>
          <w:szCs w:val="32"/>
        </w:rPr>
        <w:t>4.3资金使用和管理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_Toc10995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_Toc11673 </w:instrText>
      </w:r>
      <w:r>
        <w:rPr>
          <w:rFonts w:hint="eastAsia" w:ascii="仿宋" w:hAnsi="仿宋" w:eastAsia="仿宋" w:cs="仿宋"/>
        </w:rPr>
        <w:fldChar w:fldCharType="separate"/>
      </w:r>
      <w:r>
        <w:rPr>
          <w:rFonts w:hint="eastAsia" w:ascii="仿宋" w:hAnsi="仿宋" w:eastAsia="仿宋" w:cs="仿宋"/>
          <w:bCs/>
          <w:spacing w:val="6"/>
          <w:szCs w:val="32"/>
        </w:rPr>
        <w:t>4.4公益性岗位设置，获得稳定收入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_Toc11673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pPr>
        <w:pStyle w:val="10"/>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_Toc1049 </w:instrText>
      </w:r>
      <w:r>
        <w:rPr>
          <w:rFonts w:hint="eastAsia" w:ascii="仿宋" w:hAnsi="仿宋" w:eastAsia="仿宋" w:cs="仿宋"/>
        </w:rPr>
        <w:fldChar w:fldCharType="separate"/>
      </w:r>
      <w:r>
        <w:rPr>
          <w:rFonts w:hint="eastAsia" w:ascii="仿宋" w:hAnsi="仿宋" w:eastAsia="仿宋" w:cs="仿宋"/>
          <w:bCs/>
          <w:spacing w:val="6"/>
          <w:szCs w:val="32"/>
        </w:rPr>
        <w:t>5.项目实施保障措施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_Toc1049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_Toc10930 </w:instrText>
      </w:r>
      <w:r>
        <w:rPr>
          <w:rFonts w:hint="eastAsia" w:ascii="仿宋" w:hAnsi="仿宋" w:eastAsia="仿宋" w:cs="仿宋"/>
        </w:rPr>
        <w:fldChar w:fldCharType="separate"/>
      </w:r>
      <w:r>
        <w:rPr>
          <w:rFonts w:hint="eastAsia" w:ascii="仿宋" w:hAnsi="仿宋" w:eastAsia="仿宋" w:cs="仿宋"/>
          <w:bCs/>
          <w:spacing w:val="6"/>
          <w:szCs w:val="32"/>
        </w:rPr>
        <w:t>5.1组织领导机构</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_Toc10930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_Toc10316 </w:instrText>
      </w:r>
      <w:r>
        <w:rPr>
          <w:rFonts w:hint="eastAsia" w:ascii="仿宋" w:hAnsi="仿宋" w:eastAsia="仿宋" w:cs="仿宋"/>
        </w:rPr>
        <w:fldChar w:fldCharType="separate"/>
      </w:r>
      <w:r>
        <w:rPr>
          <w:rFonts w:hint="eastAsia" w:ascii="仿宋" w:hAnsi="仿宋" w:eastAsia="仿宋" w:cs="仿宋"/>
          <w:bCs/>
          <w:spacing w:val="6"/>
          <w:szCs w:val="32"/>
        </w:rPr>
        <w:t>5.2技术保障措施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_Toc10316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_Toc19512 </w:instrText>
      </w:r>
      <w:r>
        <w:rPr>
          <w:rFonts w:hint="eastAsia" w:ascii="仿宋" w:hAnsi="仿宋" w:eastAsia="仿宋" w:cs="仿宋"/>
        </w:rPr>
        <w:fldChar w:fldCharType="separate"/>
      </w:r>
      <w:r>
        <w:rPr>
          <w:rFonts w:hint="eastAsia" w:ascii="仿宋" w:hAnsi="仿宋" w:eastAsia="仿宋" w:cs="仿宋"/>
          <w:bCs/>
          <w:spacing w:val="6"/>
          <w:szCs w:val="32"/>
        </w:rPr>
        <w:t>5.3项目管理、监督检查制度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_Toc19512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_Toc30584 </w:instrText>
      </w:r>
      <w:r>
        <w:rPr>
          <w:rFonts w:hint="eastAsia" w:ascii="仿宋" w:hAnsi="仿宋" w:eastAsia="仿宋" w:cs="仿宋"/>
        </w:rPr>
        <w:fldChar w:fldCharType="separate"/>
      </w:r>
      <w:r>
        <w:rPr>
          <w:rFonts w:hint="eastAsia" w:ascii="仿宋" w:hAnsi="仿宋" w:eastAsia="仿宋" w:cs="仿宋"/>
          <w:bCs/>
          <w:spacing w:val="6"/>
          <w:szCs w:val="32"/>
        </w:rPr>
        <w:t>5.4验收管理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_Toc30584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_Toc10526 </w:instrText>
      </w:r>
      <w:r>
        <w:rPr>
          <w:rFonts w:hint="eastAsia" w:ascii="仿宋" w:hAnsi="仿宋" w:eastAsia="仿宋" w:cs="仿宋"/>
        </w:rPr>
        <w:fldChar w:fldCharType="separate"/>
      </w:r>
      <w:r>
        <w:rPr>
          <w:rFonts w:hint="eastAsia" w:ascii="仿宋" w:hAnsi="仿宋" w:eastAsia="仿宋" w:cs="仿宋"/>
          <w:bCs/>
          <w:spacing w:val="6"/>
          <w:szCs w:val="32"/>
        </w:rPr>
        <w:t>5.5运营模式和运营管理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_Toc10526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_Toc20650 </w:instrText>
      </w:r>
      <w:r>
        <w:rPr>
          <w:rFonts w:hint="eastAsia" w:ascii="仿宋" w:hAnsi="仿宋" w:eastAsia="仿宋" w:cs="仿宋"/>
        </w:rPr>
        <w:fldChar w:fldCharType="separate"/>
      </w:r>
      <w:r>
        <w:rPr>
          <w:rFonts w:hint="eastAsia" w:ascii="仿宋" w:hAnsi="仿宋" w:eastAsia="仿宋" w:cs="仿宋"/>
          <w:bCs/>
          <w:spacing w:val="6"/>
          <w:szCs w:val="32"/>
        </w:rPr>
        <w:t>5.6劳务报酬发放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_Toc20650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_Toc24700 </w:instrText>
      </w:r>
      <w:r>
        <w:rPr>
          <w:rFonts w:hint="eastAsia" w:ascii="仿宋" w:hAnsi="仿宋" w:eastAsia="仿宋" w:cs="仿宋"/>
        </w:rPr>
        <w:fldChar w:fldCharType="separate"/>
      </w:r>
      <w:r>
        <w:rPr>
          <w:rFonts w:hint="eastAsia" w:ascii="仿宋" w:hAnsi="仿宋" w:eastAsia="仿宋" w:cs="仿宋"/>
          <w:bCs/>
          <w:spacing w:val="6"/>
          <w:szCs w:val="32"/>
        </w:rPr>
        <w:t>5.7公益性岗位设置，获得稳定收入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_Toc24700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0"/>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_Toc10709 </w:instrText>
      </w:r>
      <w:r>
        <w:rPr>
          <w:rFonts w:hint="eastAsia" w:ascii="仿宋" w:hAnsi="仿宋" w:eastAsia="仿宋" w:cs="仿宋"/>
        </w:rPr>
        <w:fldChar w:fldCharType="separate"/>
      </w:r>
      <w:r>
        <w:rPr>
          <w:rFonts w:hint="eastAsia" w:ascii="仿宋" w:hAnsi="仿宋" w:eastAsia="仿宋" w:cs="仿宋"/>
          <w:spacing w:val="6"/>
          <w:szCs w:val="32"/>
        </w:rPr>
        <w:t>6.项目实施进度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_Toc10709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_Toc32458 </w:instrText>
      </w:r>
      <w:r>
        <w:rPr>
          <w:rFonts w:hint="eastAsia" w:ascii="仿宋" w:hAnsi="仿宋" w:eastAsia="仿宋" w:cs="仿宋"/>
        </w:rPr>
        <w:fldChar w:fldCharType="separate"/>
      </w:r>
      <w:r>
        <w:rPr>
          <w:rFonts w:hint="eastAsia" w:ascii="仿宋" w:hAnsi="仿宋" w:eastAsia="仿宋" w:cs="仿宋"/>
          <w:bCs/>
          <w:spacing w:val="6"/>
          <w:szCs w:val="32"/>
        </w:rPr>
        <w:t>6.1项目实施进度计划</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_Toc32458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_Toc23197 </w:instrText>
      </w:r>
      <w:r>
        <w:rPr>
          <w:rFonts w:hint="eastAsia" w:ascii="仿宋" w:hAnsi="仿宋" w:eastAsia="仿宋" w:cs="仿宋"/>
        </w:rPr>
        <w:fldChar w:fldCharType="separate"/>
      </w:r>
      <w:r>
        <w:rPr>
          <w:rFonts w:hint="eastAsia" w:ascii="仿宋" w:hAnsi="仿宋" w:eastAsia="仿宋" w:cs="仿宋"/>
          <w:bCs/>
          <w:spacing w:val="6"/>
          <w:szCs w:val="32"/>
        </w:rPr>
        <w:t>6.3项目公告公示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_Toc23197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0"/>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_Toc11777 </w:instrText>
      </w:r>
      <w:r>
        <w:rPr>
          <w:rFonts w:hint="eastAsia" w:ascii="仿宋" w:hAnsi="仿宋" w:eastAsia="仿宋" w:cs="仿宋"/>
        </w:rPr>
        <w:fldChar w:fldCharType="separate"/>
      </w:r>
      <w:r>
        <w:rPr>
          <w:rFonts w:hint="eastAsia" w:ascii="仿宋" w:hAnsi="仿宋" w:eastAsia="仿宋" w:cs="仿宋"/>
          <w:spacing w:val="6"/>
          <w:szCs w:val="32"/>
        </w:rPr>
        <w:t>7.项目绩效目标及效益分析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_Toc11777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_Toc23150 </w:instrText>
      </w:r>
      <w:r>
        <w:rPr>
          <w:rFonts w:hint="eastAsia" w:ascii="仿宋" w:hAnsi="仿宋" w:eastAsia="仿宋" w:cs="仿宋"/>
        </w:rPr>
        <w:fldChar w:fldCharType="separate"/>
      </w:r>
      <w:r>
        <w:rPr>
          <w:rFonts w:hint="eastAsia" w:ascii="仿宋" w:hAnsi="仿宋" w:eastAsia="仿宋" w:cs="仿宋"/>
          <w:bCs/>
          <w:spacing w:val="6"/>
          <w:szCs w:val="32"/>
        </w:rPr>
        <w:t>7.1年度目标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_Toc23150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_Toc4043 </w:instrText>
      </w:r>
      <w:r>
        <w:rPr>
          <w:rFonts w:hint="eastAsia" w:ascii="仿宋" w:hAnsi="仿宋" w:eastAsia="仿宋" w:cs="仿宋"/>
        </w:rPr>
        <w:fldChar w:fldCharType="separate"/>
      </w:r>
      <w:r>
        <w:rPr>
          <w:rFonts w:hint="eastAsia" w:ascii="仿宋" w:hAnsi="仿宋" w:eastAsia="仿宋" w:cs="仿宋"/>
          <w:bCs/>
          <w:spacing w:val="6"/>
          <w:szCs w:val="32"/>
        </w:rPr>
        <w:t>7.2经济效益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_Toc4043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_Toc29813 </w:instrText>
      </w:r>
      <w:r>
        <w:rPr>
          <w:rFonts w:hint="eastAsia" w:ascii="仿宋" w:hAnsi="仿宋" w:eastAsia="仿宋" w:cs="仿宋"/>
        </w:rPr>
        <w:fldChar w:fldCharType="separate"/>
      </w:r>
      <w:r>
        <w:rPr>
          <w:rFonts w:hint="eastAsia" w:ascii="仿宋" w:hAnsi="仿宋" w:eastAsia="仿宋" w:cs="仿宋"/>
          <w:bCs/>
          <w:spacing w:val="6"/>
          <w:szCs w:val="32"/>
        </w:rPr>
        <w:t>7.3社会效益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_Toc29813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_Toc23078 </w:instrText>
      </w:r>
      <w:r>
        <w:rPr>
          <w:rFonts w:hint="eastAsia" w:ascii="仿宋" w:hAnsi="仿宋" w:eastAsia="仿宋" w:cs="仿宋"/>
        </w:rPr>
        <w:fldChar w:fldCharType="separate"/>
      </w:r>
      <w:r>
        <w:rPr>
          <w:rFonts w:hint="eastAsia" w:ascii="仿宋" w:hAnsi="仿宋" w:eastAsia="仿宋" w:cs="仿宋"/>
          <w:bCs/>
          <w:spacing w:val="6"/>
          <w:szCs w:val="32"/>
        </w:rPr>
        <w:t>7.4可持续性影响</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_Toc23078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_Toc18482 </w:instrText>
      </w:r>
      <w:r>
        <w:rPr>
          <w:rFonts w:hint="eastAsia" w:ascii="仿宋" w:hAnsi="仿宋" w:eastAsia="仿宋" w:cs="仿宋"/>
        </w:rPr>
        <w:fldChar w:fldCharType="separate"/>
      </w:r>
      <w:r>
        <w:rPr>
          <w:rFonts w:hint="eastAsia" w:ascii="仿宋" w:hAnsi="仿宋" w:eastAsia="仿宋" w:cs="仿宋"/>
          <w:bCs/>
          <w:spacing w:val="6"/>
          <w:szCs w:val="32"/>
        </w:rPr>
        <w:t>7.5</w:t>
      </w:r>
      <w:r>
        <w:rPr>
          <w:rFonts w:hint="eastAsia" w:ascii="仿宋" w:hAnsi="仿宋" w:eastAsia="仿宋" w:cs="仿宋"/>
          <w:bCs/>
          <w:spacing w:val="6"/>
          <w:szCs w:val="32"/>
          <w:lang w:eastAsia="zh-CN"/>
        </w:rPr>
        <w:t>农业</w:t>
      </w:r>
      <w:r>
        <w:rPr>
          <w:rFonts w:hint="eastAsia" w:ascii="仿宋" w:hAnsi="仿宋" w:eastAsia="仿宋" w:cs="仿宋"/>
          <w:bCs/>
          <w:spacing w:val="6"/>
          <w:szCs w:val="32"/>
        </w:rPr>
        <w:t>发展战略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_Toc18482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_Toc21029 </w:instrText>
      </w:r>
      <w:r>
        <w:rPr>
          <w:rFonts w:hint="eastAsia" w:ascii="仿宋" w:hAnsi="仿宋" w:eastAsia="仿宋" w:cs="仿宋"/>
        </w:rPr>
        <w:fldChar w:fldCharType="separate"/>
      </w:r>
      <w:r>
        <w:rPr>
          <w:rFonts w:hint="eastAsia" w:ascii="仿宋" w:hAnsi="仿宋" w:eastAsia="仿宋" w:cs="仿宋"/>
          <w:spacing w:val="6"/>
        </w:rPr>
        <w:t>7.6</w:t>
      </w:r>
      <w:r>
        <w:rPr>
          <w:rFonts w:hint="eastAsia" w:ascii="仿宋" w:hAnsi="仿宋" w:eastAsia="仿宋" w:cs="仿宋"/>
        </w:rPr>
        <w:t>交</w:t>
      </w:r>
      <w:r>
        <w:rPr>
          <w:rFonts w:hint="eastAsia" w:ascii="仿宋" w:hAnsi="仿宋" w:eastAsia="仿宋" w:cs="仿宋"/>
          <w:lang w:eastAsia="zh-CN"/>
        </w:rPr>
        <w:t>产</w:t>
      </w:r>
      <w:r>
        <w:rPr>
          <w:rFonts w:hint="eastAsia" w:ascii="仿宋" w:hAnsi="仿宋" w:eastAsia="仿宋" w:cs="仿宋"/>
        </w:rPr>
        <w:t>融合发展目标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_Toc21029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pPr>
        <w:pStyle w:val="10"/>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_Toc25525 </w:instrText>
      </w:r>
      <w:r>
        <w:rPr>
          <w:rFonts w:hint="eastAsia" w:ascii="仿宋" w:hAnsi="仿宋" w:eastAsia="仿宋" w:cs="仿宋"/>
        </w:rPr>
        <w:fldChar w:fldCharType="separate"/>
      </w:r>
      <w:r>
        <w:rPr>
          <w:rFonts w:hint="eastAsia" w:ascii="仿宋" w:hAnsi="仿宋" w:eastAsia="仿宋" w:cs="仿宋"/>
          <w:bCs/>
          <w:spacing w:val="6"/>
          <w:szCs w:val="32"/>
        </w:rPr>
        <w:t>8.风险分析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_Toc25525 \h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_Toc23990 </w:instrText>
      </w:r>
      <w:r>
        <w:rPr>
          <w:rFonts w:hint="eastAsia" w:ascii="仿宋" w:hAnsi="仿宋" w:eastAsia="仿宋" w:cs="仿宋"/>
        </w:rPr>
        <w:fldChar w:fldCharType="separate"/>
      </w:r>
      <w:r>
        <w:rPr>
          <w:rFonts w:hint="eastAsia" w:ascii="仿宋" w:hAnsi="仿宋" w:eastAsia="仿宋" w:cs="仿宋"/>
          <w:bCs/>
          <w:spacing w:val="6"/>
          <w:szCs w:val="32"/>
        </w:rPr>
        <w:t>８.1主要风险因素</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_Toc23990 \h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_Toc27859 </w:instrText>
      </w:r>
      <w:r>
        <w:rPr>
          <w:rFonts w:hint="eastAsia" w:ascii="仿宋" w:hAnsi="仿宋" w:eastAsia="仿宋" w:cs="仿宋"/>
        </w:rPr>
        <w:fldChar w:fldCharType="separate"/>
      </w:r>
      <w:r>
        <w:rPr>
          <w:rFonts w:hint="eastAsia" w:ascii="仿宋" w:hAnsi="仿宋" w:eastAsia="仿宋" w:cs="仿宋"/>
          <w:bCs/>
          <w:spacing w:val="6"/>
          <w:szCs w:val="32"/>
        </w:rPr>
        <w:t>8.2</w:t>
      </w:r>
      <w:r>
        <w:rPr>
          <w:rFonts w:hint="eastAsia" w:ascii="仿宋" w:hAnsi="仿宋" w:eastAsia="仿宋" w:cs="仿宋"/>
          <w:spacing w:val="6"/>
          <w:szCs w:val="32"/>
        </w:rPr>
        <w:t>防范化解措施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_Toc27859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rPr>
        <w:fldChar w:fldCharType="end"/>
      </w:r>
    </w:p>
    <w:p>
      <w:pPr>
        <w:pageBreakBefore w:val="0"/>
        <w:kinsoku/>
        <w:wordWrap/>
        <w:overflowPunct/>
        <w:topLinePunct w:val="0"/>
        <w:bidi w:val="0"/>
        <w:spacing w:line="570" w:lineRule="exact"/>
        <w:rPr>
          <w:rFonts w:hint="eastAsia" w:ascii="仿宋" w:hAnsi="仿宋" w:eastAsia="仿宋" w:cs="仿宋"/>
        </w:rPr>
      </w:pPr>
      <w:r>
        <w:rPr>
          <w:rFonts w:hint="eastAsia" w:ascii="仿宋" w:hAnsi="仿宋" w:eastAsia="仿宋" w:cs="仿宋"/>
        </w:rPr>
        <w:fldChar w:fldCharType="end"/>
      </w: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sz w:val="36"/>
          <w:szCs w:val="36"/>
        </w:rPr>
      </w:pPr>
      <w:r>
        <w:rPr>
          <w:rFonts w:hint="eastAsia" w:ascii="仿宋" w:hAnsi="仿宋" w:eastAsia="仿宋" w:cs="仿宋"/>
          <w:sz w:val="36"/>
          <w:szCs w:val="36"/>
          <w:lang w:eastAsia="zh-CN"/>
        </w:rPr>
        <w:br w:type="page"/>
      </w:r>
      <w:r>
        <w:rPr>
          <w:rFonts w:hint="eastAsia" w:ascii="仿宋" w:hAnsi="仿宋" w:eastAsia="仿宋" w:cs="仿宋"/>
          <w:sz w:val="36"/>
          <w:szCs w:val="36"/>
          <w:lang w:eastAsia="zh-CN"/>
        </w:rPr>
        <w:t>麦盖提县2023年昂格特克勒克乡桥梁建设以工代赈示范工程</w:t>
      </w:r>
      <w:r>
        <w:rPr>
          <w:rFonts w:hint="eastAsia" w:ascii="仿宋" w:hAnsi="仿宋" w:eastAsia="仿宋" w:cs="仿宋"/>
          <w:sz w:val="36"/>
          <w:szCs w:val="36"/>
        </w:rPr>
        <w:t>实施方案</w:t>
      </w:r>
    </w:p>
    <w:p>
      <w:pPr>
        <w:pStyle w:val="2"/>
        <w:rPr>
          <w:rFonts w:hint="eastAsia" w:ascii="仿宋" w:hAnsi="仿宋" w:eastAsia="仿宋" w:cs="仿宋"/>
        </w:rPr>
      </w:pPr>
    </w:p>
    <w:p>
      <w:pPr>
        <w:pStyle w:val="24"/>
        <w:pageBreakBefore w:val="0"/>
        <w:kinsoku/>
        <w:wordWrap/>
        <w:overflowPunct/>
        <w:topLinePunct w:val="0"/>
        <w:bidi w:val="0"/>
        <w:snapToGrid w:val="0"/>
        <w:spacing w:line="570" w:lineRule="exact"/>
        <w:ind w:firstLine="0" w:firstLineChars="0"/>
        <w:textAlignment w:val="baseline"/>
        <w:outlineLvl w:val="0"/>
        <w:rPr>
          <w:rFonts w:hint="eastAsia" w:ascii="仿宋" w:hAnsi="仿宋" w:eastAsia="仿宋" w:cs="仿宋"/>
          <w:b/>
          <w:bCs/>
          <w:spacing w:val="6"/>
          <w:sz w:val="36"/>
          <w:szCs w:val="36"/>
        </w:rPr>
      </w:pPr>
      <w:bookmarkStart w:id="0" w:name="_Toc10736"/>
      <w:r>
        <w:rPr>
          <w:rFonts w:hint="eastAsia" w:ascii="仿宋" w:hAnsi="仿宋" w:eastAsia="仿宋" w:cs="仿宋"/>
          <w:b/>
          <w:bCs/>
          <w:spacing w:val="6"/>
          <w:sz w:val="36"/>
          <w:szCs w:val="36"/>
        </w:rPr>
        <w:t>1.基本情况</w:t>
      </w:r>
      <w:bookmarkEnd w:id="0"/>
    </w:p>
    <w:p>
      <w:pPr>
        <w:pStyle w:val="24"/>
        <w:pageBreakBefore w:val="0"/>
        <w:kinsoku/>
        <w:wordWrap/>
        <w:overflowPunct/>
        <w:topLinePunct w:val="0"/>
        <w:bidi w:val="0"/>
        <w:snapToGrid w:val="0"/>
        <w:spacing w:line="570" w:lineRule="exact"/>
        <w:ind w:firstLine="0" w:firstLineChars="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1.1项目名称</w:t>
      </w:r>
    </w:p>
    <w:p>
      <w:pPr>
        <w:pStyle w:val="24"/>
        <w:pageBreakBefore w:val="0"/>
        <w:kinsoku/>
        <w:wordWrap/>
        <w:overflowPunct/>
        <w:topLinePunct w:val="0"/>
        <w:bidi w:val="0"/>
        <w:snapToGrid w:val="0"/>
        <w:spacing w:line="570" w:lineRule="exact"/>
        <w:ind w:left="0" w:leftChars="0" w:firstLine="320" w:firstLineChars="100"/>
        <w:textAlignment w:val="baseline"/>
        <w:rPr>
          <w:rFonts w:hint="eastAsia" w:ascii="仿宋" w:hAnsi="仿宋" w:eastAsia="仿宋" w:cs="仿宋"/>
          <w:b/>
          <w:bCs/>
          <w:spacing w:val="6"/>
          <w:sz w:val="32"/>
          <w:szCs w:val="32"/>
        </w:rPr>
      </w:pPr>
      <w:r>
        <w:rPr>
          <w:rFonts w:hint="eastAsia" w:ascii="仿宋" w:hAnsi="仿宋" w:eastAsia="仿宋" w:cs="仿宋"/>
          <w:sz w:val="32"/>
          <w:szCs w:val="32"/>
          <w:lang w:eastAsia="zh-CN"/>
        </w:rPr>
        <w:t>麦盖提县2023年昂格特克勒克乡桥梁建设以工代赈示范工程</w:t>
      </w:r>
      <w:r>
        <w:rPr>
          <w:rFonts w:hint="eastAsia" w:ascii="仿宋" w:hAnsi="仿宋" w:eastAsia="仿宋" w:cs="仿宋"/>
          <w:b/>
          <w:bCs/>
          <w:spacing w:val="6"/>
          <w:sz w:val="32"/>
          <w:szCs w:val="32"/>
        </w:rPr>
        <w:t>1.2项目建设性质</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改建</w:t>
      </w:r>
    </w:p>
    <w:p>
      <w:pPr>
        <w:pStyle w:val="24"/>
        <w:pageBreakBefore w:val="0"/>
        <w:kinsoku/>
        <w:wordWrap/>
        <w:overflowPunct/>
        <w:topLinePunct w:val="0"/>
        <w:bidi w:val="0"/>
        <w:snapToGrid w:val="0"/>
        <w:spacing w:line="570" w:lineRule="exact"/>
        <w:ind w:firstLine="0" w:firstLineChars="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1.3项目建设单位</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喀什地区</w:t>
      </w:r>
      <w:r>
        <w:rPr>
          <w:rFonts w:hint="eastAsia" w:ascii="仿宋" w:hAnsi="仿宋" w:eastAsia="仿宋" w:cs="仿宋"/>
          <w:color w:val="000000"/>
          <w:sz w:val="30"/>
          <w:szCs w:val="30"/>
        </w:rPr>
        <w:t>麦盖提县农村公路建设养护所</w:t>
      </w:r>
    </w:p>
    <w:p>
      <w:pPr>
        <w:pStyle w:val="24"/>
        <w:pageBreakBefore w:val="0"/>
        <w:kinsoku/>
        <w:wordWrap/>
        <w:overflowPunct/>
        <w:topLinePunct w:val="0"/>
        <w:bidi w:val="0"/>
        <w:snapToGrid w:val="0"/>
        <w:spacing w:line="570" w:lineRule="exact"/>
        <w:ind w:firstLine="0" w:firstLineChars="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1.4项目建设地点</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昂格特勒克乡</w:t>
      </w:r>
    </w:p>
    <w:p>
      <w:pPr>
        <w:pStyle w:val="24"/>
        <w:pageBreakBefore w:val="0"/>
        <w:kinsoku/>
        <w:wordWrap/>
        <w:overflowPunct/>
        <w:topLinePunct w:val="0"/>
        <w:bidi w:val="0"/>
        <w:snapToGrid w:val="0"/>
        <w:spacing w:line="570" w:lineRule="exact"/>
        <w:ind w:firstLine="0" w:firstLineChars="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1.5项目建设目标</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以“农村公益性基础设施建设+劳务报酬发放+公益性岗位设置”综合示范模式实施。示范项目完成后，通过以工代赈中央预算内投资资金引导，地方财政配套资金，促进项目区产业发展，增强农民增收的内生动力。</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项目建设过程中，能用人工的尽量不用机械，能用当地群众的不用专业队伍，拟用工种为水泥工、钢筋工、机械工、</w:t>
      </w:r>
      <w:r>
        <w:rPr>
          <w:rFonts w:hint="eastAsia" w:ascii="仿宋" w:hAnsi="仿宋" w:eastAsia="仿宋" w:cs="仿宋"/>
          <w:spacing w:val="6"/>
          <w:sz w:val="32"/>
          <w:szCs w:val="32"/>
          <w:lang w:eastAsia="zh-CN"/>
        </w:rPr>
        <w:t>木</w:t>
      </w:r>
      <w:r>
        <w:rPr>
          <w:rFonts w:hint="eastAsia" w:ascii="仿宋" w:hAnsi="仿宋" w:eastAsia="仿宋" w:cs="仿宋"/>
          <w:spacing w:val="6"/>
          <w:sz w:val="32"/>
          <w:szCs w:val="32"/>
        </w:rPr>
        <w:t>工等，预计带动务工群众70人，其中：当地群众70人（脱贫不稳定户、边缘易致贫户、其他农村低收入群体5</w:t>
      </w:r>
      <w:r>
        <w:rPr>
          <w:rFonts w:hint="eastAsia" w:ascii="仿宋" w:hAnsi="仿宋" w:eastAsia="仿宋" w:cs="仿宋"/>
          <w:color w:val="auto"/>
          <w:spacing w:val="6"/>
          <w:sz w:val="32"/>
          <w:szCs w:val="32"/>
        </w:rPr>
        <w:t>6人，易地搬迁群众14人），</w:t>
      </w:r>
      <w:r>
        <w:rPr>
          <w:rFonts w:hint="eastAsia" w:ascii="仿宋" w:hAnsi="仿宋" w:eastAsia="仿宋" w:cs="仿宋"/>
          <w:spacing w:val="6"/>
          <w:sz w:val="32"/>
          <w:szCs w:val="32"/>
        </w:rPr>
        <w:t>预计需要用工6</w:t>
      </w:r>
      <w:r>
        <w:rPr>
          <w:rFonts w:hint="eastAsia" w:ascii="仿宋" w:hAnsi="仿宋" w:eastAsia="仿宋" w:cs="仿宋"/>
          <w:spacing w:val="6"/>
          <w:sz w:val="32"/>
          <w:szCs w:val="32"/>
          <w:lang w:val="en-US" w:eastAsia="zh-CN"/>
        </w:rPr>
        <w:t>666</w:t>
      </w:r>
      <w:r>
        <w:rPr>
          <w:rFonts w:hint="eastAsia" w:ascii="仿宋" w:hAnsi="仿宋" w:eastAsia="仿宋" w:cs="仿宋"/>
          <w:spacing w:val="6"/>
          <w:sz w:val="32"/>
          <w:szCs w:val="32"/>
        </w:rPr>
        <w:t>工日，人均工资150元/天，发放劳务报酬</w:t>
      </w:r>
      <w:r>
        <w:rPr>
          <w:rFonts w:hint="eastAsia" w:ascii="仿宋" w:hAnsi="仿宋" w:eastAsia="仿宋" w:cs="仿宋"/>
          <w:spacing w:val="6"/>
          <w:sz w:val="32"/>
          <w:szCs w:val="32"/>
          <w:lang w:val="en-US" w:eastAsia="zh-CN"/>
        </w:rPr>
        <w:t>100</w:t>
      </w:r>
      <w:r>
        <w:rPr>
          <w:rFonts w:hint="eastAsia" w:ascii="仿宋" w:hAnsi="仿宋" w:eastAsia="仿宋" w:cs="仿宋"/>
          <w:spacing w:val="6"/>
          <w:sz w:val="32"/>
          <w:szCs w:val="32"/>
        </w:rPr>
        <w:t>万元，直接提高农民工资性收入。</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项目建成后，使用县级配套资金设置公益性岗位1个，1人共获得稳定收入</w:t>
      </w:r>
      <w:r>
        <w:rPr>
          <w:rFonts w:hint="eastAsia" w:ascii="仿宋" w:hAnsi="仿宋" w:eastAsia="仿宋" w:cs="仿宋"/>
          <w:spacing w:val="6"/>
          <w:sz w:val="32"/>
          <w:szCs w:val="32"/>
          <w:lang w:val="en-US" w:eastAsia="zh-CN"/>
        </w:rPr>
        <w:t>1.2</w:t>
      </w:r>
      <w:r>
        <w:rPr>
          <w:rFonts w:hint="eastAsia" w:ascii="仿宋" w:hAnsi="仿宋" w:eastAsia="仿宋" w:cs="仿宋"/>
          <w:spacing w:val="6"/>
          <w:sz w:val="32"/>
          <w:szCs w:val="32"/>
        </w:rPr>
        <w:t>万元/年。</w:t>
      </w:r>
    </w:p>
    <w:p>
      <w:pPr>
        <w:pStyle w:val="24"/>
        <w:pageBreakBefore w:val="0"/>
        <w:kinsoku/>
        <w:wordWrap/>
        <w:overflowPunct/>
        <w:topLinePunct w:val="0"/>
        <w:bidi w:val="0"/>
        <w:snapToGrid w:val="0"/>
        <w:spacing w:line="570" w:lineRule="exact"/>
        <w:ind w:firstLine="0" w:firstLineChars="0"/>
        <w:textAlignment w:val="baseline"/>
        <w:rPr>
          <w:rFonts w:hint="eastAsia" w:ascii="仿宋" w:hAnsi="仿宋" w:eastAsia="仿宋" w:cs="仿宋"/>
          <w:spacing w:val="6"/>
          <w:sz w:val="32"/>
          <w:szCs w:val="32"/>
        </w:rPr>
      </w:pPr>
      <w:r>
        <w:rPr>
          <w:rFonts w:hint="eastAsia" w:ascii="仿宋" w:hAnsi="仿宋" w:eastAsia="仿宋" w:cs="仿宋"/>
          <w:b/>
          <w:bCs/>
          <w:spacing w:val="6"/>
          <w:sz w:val="32"/>
          <w:szCs w:val="32"/>
        </w:rPr>
        <w:t>1.6项目建设内容</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spacing w:val="6"/>
          <w:sz w:val="32"/>
          <w:szCs w:val="32"/>
          <w:lang w:eastAsia="zh-CN"/>
        </w:rPr>
        <w:t>改建中型桥梁54延米，及相关附属设施建设</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0" w:firstLineChars="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1.7投资规模及资金筹措</w:t>
      </w:r>
    </w:p>
    <w:p>
      <w:pPr>
        <w:pageBreakBefore w:val="0"/>
        <w:widowControl/>
        <w:kinsoku/>
        <w:wordWrap/>
        <w:overflowPunct/>
        <w:topLinePunct w:val="0"/>
        <w:bidi w:val="0"/>
        <w:spacing w:line="570" w:lineRule="exact"/>
        <w:ind w:firstLine="664" w:firstLineChars="200"/>
        <w:jc w:val="left"/>
        <w:rPr>
          <w:rFonts w:hint="eastAsia" w:ascii="仿宋" w:hAnsi="仿宋" w:eastAsia="仿宋" w:cs="仿宋"/>
          <w:spacing w:val="6"/>
          <w:sz w:val="32"/>
          <w:szCs w:val="32"/>
        </w:rPr>
      </w:pPr>
      <w:r>
        <w:rPr>
          <w:rFonts w:hint="eastAsia" w:ascii="仿宋" w:hAnsi="仿宋" w:eastAsia="仿宋" w:cs="仿宋"/>
          <w:spacing w:val="6"/>
          <w:sz w:val="32"/>
          <w:szCs w:val="32"/>
        </w:rPr>
        <w:t>项目建设总投资320万元，含劳务报酬发放共计</w:t>
      </w:r>
      <w:r>
        <w:rPr>
          <w:rFonts w:hint="eastAsia" w:ascii="仿宋" w:hAnsi="仿宋" w:eastAsia="仿宋" w:cs="仿宋"/>
          <w:spacing w:val="6"/>
          <w:sz w:val="32"/>
          <w:szCs w:val="32"/>
          <w:lang w:val="en-US" w:eastAsia="zh-CN"/>
        </w:rPr>
        <w:t>100</w:t>
      </w:r>
      <w:r>
        <w:rPr>
          <w:rFonts w:hint="eastAsia" w:ascii="仿宋" w:hAnsi="仿宋" w:eastAsia="仿宋" w:cs="仿宋"/>
          <w:spacing w:val="6"/>
          <w:sz w:val="32"/>
          <w:szCs w:val="32"/>
        </w:rPr>
        <w:t>万元，占</w:t>
      </w:r>
      <w:r>
        <w:rPr>
          <w:rFonts w:hint="eastAsia" w:ascii="仿宋" w:hAnsi="仿宋" w:eastAsia="仿宋" w:cs="仿宋"/>
          <w:spacing w:val="6"/>
          <w:sz w:val="32"/>
          <w:szCs w:val="32"/>
          <w:lang w:eastAsia="zh-CN"/>
        </w:rPr>
        <w:t>中央预算内资金</w:t>
      </w:r>
      <w:r>
        <w:rPr>
          <w:rFonts w:hint="eastAsia" w:ascii="仿宋" w:hAnsi="仿宋" w:eastAsia="仿宋" w:cs="仿宋"/>
          <w:spacing w:val="6"/>
          <w:sz w:val="32"/>
          <w:szCs w:val="32"/>
        </w:rPr>
        <w:t>的3</w:t>
      </w:r>
      <w:r>
        <w:rPr>
          <w:rFonts w:hint="eastAsia" w:ascii="仿宋" w:hAnsi="仿宋" w:eastAsia="仿宋" w:cs="仿宋"/>
          <w:spacing w:val="6"/>
          <w:sz w:val="32"/>
          <w:szCs w:val="32"/>
          <w:lang w:val="en-US" w:eastAsia="zh-CN"/>
        </w:rPr>
        <w:t>1.25</w:t>
      </w:r>
      <w:r>
        <w:rPr>
          <w:rFonts w:hint="eastAsia" w:ascii="仿宋" w:hAnsi="仿宋" w:eastAsia="仿宋" w:cs="仿宋"/>
          <w:spacing w:val="6"/>
          <w:sz w:val="32"/>
          <w:szCs w:val="32"/>
        </w:rPr>
        <w:t>%。</w:t>
      </w:r>
    </w:p>
    <w:p>
      <w:pPr>
        <w:pageBreakBefore w:val="0"/>
        <w:widowControl/>
        <w:kinsoku/>
        <w:wordWrap/>
        <w:overflowPunct/>
        <w:topLinePunct w:val="0"/>
        <w:bidi w:val="0"/>
        <w:spacing w:line="570" w:lineRule="exact"/>
        <w:ind w:firstLine="664" w:firstLineChars="200"/>
        <w:jc w:val="left"/>
        <w:rPr>
          <w:rFonts w:hint="eastAsia" w:ascii="仿宋" w:hAnsi="仿宋" w:eastAsia="仿宋" w:cs="仿宋"/>
          <w:spacing w:val="6"/>
          <w:sz w:val="32"/>
          <w:szCs w:val="32"/>
        </w:rPr>
      </w:pPr>
      <w:r>
        <w:rPr>
          <w:rFonts w:hint="eastAsia" w:ascii="仿宋" w:hAnsi="仿宋" w:eastAsia="仿宋" w:cs="仿宋"/>
          <w:spacing w:val="6"/>
          <w:sz w:val="32"/>
          <w:szCs w:val="32"/>
        </w:rPr>
        <w:t>建设总投资320万元，申请</w:t>
      </w:r>
      <w:r>
        <w:rPr>
          <w:rFonts w:hint="eastAsia" w:ascii="仿宋" w:hAnsi="仿宋" w:eastAsia="仿宋" w:cs="仿宋"/>
          <w:spacing w:val="6"/>
          <w:sz w:val="32"/>
          <w:szCs w:val="32"/>
          <w:lang w:eastAsia="zh-CN"/>
        </w:rPr>
        <w:t>中央预算内资金</w:t>
      </w:r>
      <w:r>
        <w:rPr>
          <w:rFonts w:hint="eastAsia" w:ascii="仿宋" w:hAnsi="仿宋" w:eastAsia="仿宋" w:cs="仿宋"/>
          <w:spacing w:val="6"/>
          <w:sz w:val="32"/>
          <w:szCs w:val="32"/>
        </w:rPr>
        <w:t>320万元。</w:t>
      </w:r>
    </w:p>
    <w:p>
      <w:pPr>
        <w:pStyle w:val="24"/>
        <w:pageBreakBefore w:val="0"/>
        <w:kinsoku/>
        <w:wordWrap/>
        <w:overflowPunct/>
        <w:topLinePunct w:val="0"/>
        <w:bidi w:val="0"/>
        <w:snapToGrid w:val="0"/>
        <w:spacing w:line="570" w:lineRule="exact"/>
        <w:ind w:firstLine="0" w:firstLineChars="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1.9项目建设期限</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rPr>
      </w:pPr>
      <w:r>
        <w:rPr>
          <w:rFonts w:hint="eastAsia" w:ascii="仿宋" w:hAnsi="仿宋" w:eastAsia="仿宋" w:cs="仿宋"/>
          <w:spacing w:val="6"/>
          <w:sz w:val="32"/>
          <w:szCs w:val="32"/>
          <w:highlight w:val="none"/>
        </w:rPr>
        <w:t>根据当地建设条件，结合</w:t>
      </w:r>
      <w:r>
        <w:rPr>
          <w:rFonts w:hint="eastAsia" w:ascii="仿宋" w:hAnsi="仿宋" w:eastAsia="仿宋" w:cs="仿宋"/>
          <w:spacing w:val="6"/>
          <w:sz w:val="32"/>
          <w:szCs w:val="32"/>
          <w:highlight w:val="none"/>
          <w:lang w:eastAsia="zh-CN"/>
        </w:rPr>
        <w:t>项目实际情况</w:t>
      </w:r>
      <w:r>
        <w:rPr>
          <w:rFonts w:hint="eastAsia" w:ascii="仿宋" w:hAnsi="仿宋" w:eastAsia="仿宋" w:cs="仿宋"/>
          <w:spacing w:val="6"/>
          <w:sz w:val="32"/>
          <w:szCs w:val="32"/>
          <w:highlight w:val="none"/>
        </w:rPr>
        <w:t>和施工技术力量，初步拟定工程</w:t>
      </w:r>
      <w:r>
        <w:rPr>
          <w:rFonts w:hint="eastAsia" w:ascii="仿宋" w:hAnsi="仿宋" w:eastAsia="仿宋" w:cs="仿宋"/>
          <w:color w:val="auto"/>
          <w:spacing w:val="6"/>
          <w:sz w:val="32"/>
          <w:szCs w:val="32"/>
          <w:highlight w:val="none"/>
        </w:rPr>
        <w:t>施工期为</w:t>
      </w:r>
      <w:r>
        <w:rPr>
          <w:rFonts w:hint="eastAsia" w:ascii="仿宋" w:hAnsi="仿宋" w:eastAsia="仿宋" w:cs="仿宋"/>
          <w:color w:val="auto"/>
          <w:spacing w:val="6"/>
          <w:sz w:val="32"/>
          <w:szCs w:val="32"/>
          <w:highlight w:val="none"/>
          <w:lang w:val="en-US" w:eastAsia="zh-CN"/>
        </w:rPr>
        <w:t>3</w:t>
      </w:r>
      <w:r>
        <w:rPr>
          <w:rFonts w:hint="eastAsia" w:ascii="仿宋" w:hAnsi="仿宋" w:eastAsia="仿宋" w:cs="仿宋"/>
          <w:color w:val="auto"/>
          <w:spacing w:val="6"/>
          <w:sz w:val="32"/>
          <w:szCs w:val="32"/>
          <w:highlight w:val="none"/>
        </w:rPr>
        <w:t>个</w:t>
      </w:r>
      <w:r>
        <w:rPr>
          <w:rFonts w:hint="eastAsia" w:ascii="仿宋" w:hAnsi="仿宋" w:eastAsia="仿宋" w:cs="仿宋"/>
          <w:color w:val="auto"/>
          <w:spacing w:val="6"/>
          <w:sz w:val="32"/>
          <w:szCs w:val="32"/>
          <w:highlight w:val="none"/>
          <w:lang w:eastAsia="zh-CN"/>
        </w:rPr>
        <w:t>半</w:t>
      </w:r>
      <w:r>
        <w:rPr>
          <w:rFonts w:hint="eastAsia" w:ascii="仿宋" w:hAnsi="仿宋" w:eastAsia="仿宋" w:cs="仿宋"/>
          <w:color w:val="auto"/>
          <w:spacing w:val="6"/>
          <w:sz w:val="32"/>
          <w:szCs w:val="32"/>
          <w:highlight w:val="none"/>
        </w:rPr>
        <w:t>月，</w:t>
      </w:r>
      <w:r>
        <w:rPr>
          <w:rFonts w:hint="eastAsia" w:ascii="仿宋" w:hAnsi="仿宋" w:eastAsia="仿宋" w:cs="仿宋"/>
          <w:color w:val="auto"/>
          <w:spacing w:val="6"/>
          <w:sz w:val="32"/>
          <w:szCs w:val="32"/>
          <w:highlight w:val="none"/>
          <w:lang w:eastAsia="zh-CN"/>
        </w:rPr>
        <w:t>施工时间在</w:t>
      </w:r>
      <w:r>
        <w:rPr>
          <w:rFonts w:hint="eastAsia" w:ascii="仿宋" w:hAnsi="仿宋" w:eastAsia="仿宋" w:cs="仿宋"/>
          <w:color w:val="auto"/>
          <w:spacing w:val="6"/>
          <w:sz w:val="32"/>
          <w:szCs w:val="32"/>
          <w:highlight w:val="none"/>
          <w:lang w:val="en-US" w:eastAsia="zh-CN"/>
        </w:rPr>
        <w:t>2023年8月初-11月中旬</w:t>
      </w:r>
      <w:r>
        <w:rPr>
          <w:rFonts w:hint="eastAsia" w:ascii="仿宋" w:hAnsi="仿宋" w:eastAsia="仿宋" w:cs="仿宋"/>
          <w:color w:val="auto"/>
          <w:spacing w:val="6"/>
          <w:sz w:val="32"/>
          <w:szCs w:val="32"/>
          <w:highlight w:val="none"/>
        </w:rPr>
        <w:t>，</w:t>
      </w:r>
      <w:r>
        <w:rPr>
          <w:rFonts w:hint="eastAsia" w:ascii="仿宋" w:hAnsi="仿宋" w:eastAsia="仿宋" w:cs="仿宋"/>
          <w:spacing w:val="6"/>
          <w:sz w:val="32"/>
          <w:szCs w:val="32"/>
          <w:highlight w:val="none"/>
        </w:rPr>
        <w:t>工程竣工后，须通过检查验收后才能移交给业主，投入正常运营。</w:t>
      </w:r>
    </w:p>
    <w:p>
      <w:pPr>
        <w:pStyle w:val="24"/>
        <w:pageBreakBefore w:val="0"/>
        <w:kinsoku/>
        <w:wordWrap/>
        <w:overflowPunct/>
        <w:topLinePunct w:val="0"/>
        <w:bidi w:val="0"/>
        <w:snapToGrid w:val="0"/>
        <w:spacing w:line="570" w:lineRule="exact"/>
        <w:ind w:firstLine="0" w:firstLineChars="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1.10项目建设地点及基本情况</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麦盖提县土地资源丰富</w:t>
      </w:r>
      <w:r>
        <w:rPr>
          <w:rFonts w:hint="eastAsia" w:ascii="仿宋" w:hAnsi="仿宋" w:eastAsia="仿宋" w:cs="仿宋"/>
          <w:spacing w:val="6"/>
          <w:sz w:val="32"/>
          <w:szCs w:val="32"/>
          <w:lang w:eastAsia="zh-CN"/>
        </w:rPr>
        <w:t>，农</w:t>
      </w:r>
      <w:r>
        <w:rPr>
          <w:rFonts w:hint="eastAsia" w:ascii="仿宋" w:hAnsi="仿宋" w:eastAsia="仿宋" w:cs="仿宋"/>
          <w:spacing w:val="6"/>
          <w:sz w:val="32"/>
          <w:szCs w:val="32"/>
        </w:rPr>
        <w:t>业人口平均占有耕地45亩</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平均新地14.1亩</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辖2个镇，8个乡；麦盖提镇、巴扎结米镇、希依提墩乡、央塔克乡、吐曼塔勒乡、尕孜库勒乡、克孜勒阿瓦提乡、库木库萨尔乡</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昂格特勒克乡、库尔玛乡。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麦盖提县水利资源和生物资源丰富</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县境有两条河流</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引水8亿立方米</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一是叶尔羌河</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演经县境长180公里</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引水占52%；二是提玫那莆河</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流经县境全长56公里</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引水47.2%</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全境引水干渠21条</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总瀛量202立方米/秒</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灌溉面积77.79万亩.麦盖提县有7座中小型水库</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年蓄水量7600万立方米</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麦盖提县有机井414眼</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扬水站18处</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地下水的利用量约为一亿多立方米</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粮食作物有玉米</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水稻</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高巢</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大豆等:经济作物有棉花</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小茴香、花生.向日葵、红花、烟草等</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该县是自治区棉花种植比重</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的县</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是喀什地区的棉花基地县之一:菜类有133个品种</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水果有123个品</w:t>
      </w:r>
      <w:r>
        <w:rPr>
          <w:rFonts w:hint="eastAsia" w:ascii="仿宋" w:hAnsi="仿宋" w:eastAsia="仿宋" w:cs="仿宋"/>
          <w:spacing w:val="6"/>
          <w:sz w:val="32"/>
          <w:szCs w:val="32"/>
          <w:lang w:eastAsia="zh-CN"/>
        </w:rPr>
        <w:t>种，</w:t>
      </w:r>
      <w:r>
        <w:rPr>
          <w:rFonts w:hint="eastAsia" w:ascii="仿宋" w:hAnsi="仿宋" w:eastAsia="仿宋" w:cs="仿宋"/>
          <w:spacing w:val="6"/>
          <w:sz w:val="32"/>
          <w:szCs w:val="32"/>
        </w:rPr>
        <w:t>药材资源布大芸，枸杞、甘草等。牲畜有牛、马、驴、骆驼等。旅游资源丰富、自然风光、人文景观和民俗风情特色实出，麦盖提县是知名的“刀郎文化之乡”。新疆工作在党和国家工作全局中具有特殊重要的战略地位，党中央、国务院作出进一步加强和推进对口支援新疆工作</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是具有战略意义的重要快年</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特促进新疆的跨越式发展。</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lang w:eastAsia="zh-CN"/>
        </w:rPr>
        <w:t>麦盖提县昂格特克勒克乡2023年桥梁建设以工代赈示范工程</w:t>
      </w:r>
      <w:r>
        <w:rPr>
          <w:rFonts w:hint="eastAsia" w:ascii="仿宋" w:hAnsi="仿宋" w:eastAsia="仿宋" w:cs="仿宋"/>
          <w:spacing w:val="6"/>
          <w:sz w:val="32"/>
          <w:szCs w:val="32"/>
        </w:rPr>
        <w:t>，建设规模54延米，项目位于巴昂格特勒克乡阿克布鲁买村境内。该项目的实施，主要为改建桥梁，它是解决农村广大人民群众生产和生活需求的重要基础设施，是公路网的重要组成部分，也是骨架公路和重要干道的补充和延伸。</w:t>
      </w:r>
    </w:p>
    <w:p>
      <w:pPr>
        <w:pStyle w:val="24"/>
        <w:pageBreakBefore w:val="0"/>
        <w:kinsoku/>
        <w:wordWrap/>
        <w:overflowPunct/>
        <w:topLinePunct w:val="0"/>
        <w:bidi w:val="0"/>
        <w:snapToGrid w:val="0"/>
        <w:spacing w:line="570" w:lineRule="exact"/>
        <w:ind w:firstLine="0" w:firstLineChars="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1.10.1.第三次新疆工作会议描绘的新疆建设蓝图</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第三次中央新疆工作座谈会9月25日至26日在北京召开。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做好新疆工作是全党全国的大事，必须牢固树立全国一盘棋思想，完善党中央统一领导、中央部门支持指导、各省市支援配合、新疆发挥主体作用的工作机制。中央新疆工作协调小组要在党中央领导下，加强对新疆工作的形势研判、政策研究、协调指导、督促检查，对重大问题及时提出工作意见。中央有关部门要各司其职，密切配合，深入调研督导，及时发现问题，帮助解决困难。新疆自治区党委站在一线，要履行好主体责任，抓好工作落实。内地各省区市要切实做好涉疆工作，支持新疆稳定和发展。</w:t>
      </w:r>
    </w:p>
    <w:p>
      <w:pPr>
        <w:pStyle w:val="6"/>
        <w:pageBreakBefore w:val="0"/>
        <w:kinsoku/>
        <w:wordWrap/>
        <w:overflowPunct/>
        <w:topLinePunct w:val="0"/>
        <w:bidi w:val="0"/>
        <w:snapToGrid w:val="0"/>
        <w:spacing w:line="570" w:lineRule="exact"/>
        <w:ind w:firstLine="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1.10.2.已经部署的南疆发展规划对其未来发展的引领作用</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国家发改委从贯彻落实区域战略的角度，专门编制了促进南疆等地区发展的相关规划。随着扶持南疆政策的陆续落地，南疆将迎来重大历史发展机遇。</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近期国家将重点促进南疆地区经济社会发展和民生改善，加快推进惠及民生的重大交通、水利、农业等方面的基础设施建设。对南疆发展，要从国家层面进行顶层设计，实行特殊政策，打破常规，特事特办。采取特殊的财政、投资、金融、人才等政策，加大扶贫攻坚和民生改善力度，促进南疆加快发展。</w:t>
      </w:r>
    </w:p>
    <w:p>
      <w:pPr>
        <w:pStyle w:val="24"/>
        <w:pageBreakBefore w:val="0"/>
        <w:kinsoku/>
        <w:wordWrap/>
        <w:overflowPunct/>
        <w:topLinePunct w:val="0"/>
        <w:bidi w:val="0"/>
        <w:snapToGrid w:val="0"/>
        <w:spacing w:line="570" w:lineRule="exact"/>
        <w:ind w:firstLine="0" w:firstLineChars="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1.10.3.“丝绸之路经济带”战略构想是南疆未来发展的契机</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作为我国向西开放的桥头堡，又处在“丝绸之路经济带”建设的最前沿，共建“丝绸之路经济带”无疑为新疆实现跨越式发展和长治久安两大历史任务带来了新的机遇。新疆未来将在共建“丝绸之路经济带”中有所作为，加强同亚欧各国政策沟通、道路连通、贸易畅通、货币流通、民心相通，加快把政治关系优势、地缘毗邻优势、经济互补优势转化为务实合作、持续增长的优势，通过加快新疆对外立体交通网络和新疆对内三个大通道建设，构筑综合交通网络体系和“丝绸之路经济带”枢纽中心，继续加强新疆与中亚各国的油气合作，构建中国中亚油气运输管道大通道，加快建立中国与中亚国家经济发展合作基金和自由贸易区，重塑新疆“丝绸之路经济带”上的商贸中心地位和建设出口加工制造基地，发挥新疆文化相通的优势，加强区域合作交流，促进新疆向西发展文化产业、输出文化产品、增强国际影响力，还要推进</w:t>
      </w:r>
      <w:r>
        <w:rPr>
          <w:rFonts w:hint="eastAsia" w:ascii="仿宋" w:hAnsi="仿宋" w:eastAsia="仿宋" w:cs="仿宋"/>
        </w:rPr>
        <w:fldChar w:fldCharType="begin"/>
      </w:r>
      <w:r>
        <w:rPr>
          <w:rFonts w:hint="eastAsia" w:ascii="仿宋" w:hAnsi="仿宋" w:eastAsia="仿宋" w:cs="仿宋"/>
        </w:rPr>
        <w:instrText xml:space="preserve"> HYPERLINK "http://auto.ifeng.com/news/finance/" \t "_blank" </w:instrText>
      </w:r>
      <w:r>
        <w:rPr>
          <w:rFonts w:hint="eastAsia" w:ascii="仿宋" w:hAnsi="仿宋" w:eastAsia="仿宋" w:cs="仿宋"/>
        </w:rPr>
        <w:fldChar w:fldCharType="separate"/>
      </w:r>
      <w:r>
        <w:rPr>
          <w:rFonts w:hint="eastAsia" w:ascii="仿宋" w:hAnsi="仿宋" w:eastAsia="仿宋" w:cs="仿宋"/>
          <w:spacing w:val="6"/>
          <w:sz w:val="32"/>
          <w:szCs w:val="32"/>
        </w:rPr>
        <w:t>金融</w:t>
      </w:r>
      <w:r>
        <w:rPr>
          <w:rFonts w:hint="eastAsia" w:ascii="仿宋" w:hAnsi="仿宋" w:eastAsia="仿宋" w:cs="仿宋"/>
          <w:spacing w:val="6"/>
          <w:sz w:val="32"/>
          <w:szCs w:val="32"/>
        </w:rPr>
        <w:fldChar w:fldCharType="end"/>
      </w:r>
      <w:r>
        <w:rPr>
          <w:rFonts w:hint="eastAsia" w:ascii="仿宋" w:hAnsi="仿宋" w:eastAsia="仿宋" w:cs="仿宋"/>
          <w:spacing w:val="6"/>
          <w:sz w:val="32"/>
          <w:szCs w:val="32"/>
        </w:rPr>
        <w:t>改革和金融业发展，打造“丝绸之路经济带”上重要金融中心，同时借助“丝绸之路经济带”建设，营造安全稳定的发展环境。</w:t>
      </w:r>
    </w:p>
    <w:p>
      <w:pPr>
        <w:pStyle w:val="6"/>
        <w:pageBreakBefore w:val="0"/>
        <w:kinsoku/>
        <w:wordWrap/>
        <w:overflowPunct/>
        <w:topLinePunct w:val="0"/>
        <w:bidi w:val="0"/>
        <w:snapToGrid w:val="0"/>
        <w:spacing w:line="570" w:lineRule="exact"/>
        <w:ind w:firstLine="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1.10.4.本项目的背景定位</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公里，南北宽136公里，总面积为1.52万平方公里。海拔1155米-1195米。县城距首府乌鲁木齐市公路里程1410公里、距喀什市175公里、距巴楚火车站150公里，位于叶河流域五个县的中心，是毗邻叶尔羌河中游的一颗明珠，故又有“小金三角”之称。</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地势平坦，全县地势由西南向东北缓缓倾斜。主要地貌：沿叶尔羌河两岸为平原区，东北部沿叶尔羌河下游一带为原始胡杨森林区，东部为沙漠区。</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麦盖提县自然景观有原始胡杨林、东河滩沙棘林湿地、塔克拉玛干沙漠风光、叶尔羌河中游大桥夕阳风光和刀郎千岛湖等。距塔克拉玛干沙漠最近处仅13公里。</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项目路线所在区域属于提孜那甫河下游的冲、洪积和风积平原，地形平坦开阔，地势由西南向东北缓缓倾斜，自然坡降0.5%之内，全线属平原微丘地形。</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路线两侧主要为居民房屋、农田、林带，农灌渠等。</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综上，本项目的建设对促进</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乡村振兴和改善民生，将起到巨大的推动作用。</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p>
    <w:p>
      <w:pPr>
        <w:pStyle w:val="24"/>
        <w:pageBreakBefore w:val="0"/>
        <w:kinsoku/>
        <w:wordWrap/>
        <w:overflowPunct/>
        <w:topLinePunct w:val="0"/>
        <w:bidi w:val="0"/>
        <w:snapToGrid w:val="0"/>
        <w:spacing w:line="570" w:lineRule="exact"/>
        <w:ind w:firstLine="0" w:firstLineChars="0"/>
        <w:textAlignment w:val="baseline"/>
        <w:outlineLvl w:val="0"/>
        <w:rPr>
          <w:rFonts w:hint="eastAsia" w:ascii="仿宋" w:hAnsi="仿宋" w:eastAsia="仿宋" w:cs="仿宋"/>
          <w:b/>
          <w:bCs/>
          <w:spacing w:val="6"/>
          <w:sz w:val="36"/>
          <w:szCs w:val="36"/>
        </w:rPr>
      </w:pPr>
      <w:bookmarkStart w:id="1" w:name="_Toc25253"/>
      <w:r>
        <w:rPr>
          <w:rFonts w:hint="eastAsia" w:ascii="仿宋" w:hAnsi="仿宋" w:eastAsia="仿宋" w:cs="仿宋"/>
          <w:b/>
          <w:bCs/>
          <w:spacing w:val="6"/>
          <w:sz w:val="36"/>
          <w:szCs w:val="36"/>
        </w:rPr>
        <w:t>2.项目情况</w:t>
      </w:r>
      <w:bookmarkEnd w:id="1"/>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2" w:name="_Toc11566"/>
      <w:r>
        <w:rPr>
          <w:rFonts w:hint="eastAsia" w:ascii="仿宋" w:hAnsi="仿宋" w:eastAsia="仿宋" w:cs="仿宋"/>
          <w:b/>
          <w:bCs/>
          <w:spacing w:val="6"/>
          <w:sz w:val="32"/>
          <w:szCs w:val="32"/>
        </w:rPr>
        <w:t>2.1项目建设依据</w:t>
      </w:r>
      <w:bookmarkEnd w:id="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中共中央国务院关于坚持农业农村优先发展做好“三农”工作的若干意见(中发〔2019〕1号)》，全文共分8个部分，包括：聚力精准施策，决战决胜脱贫攻坚；夯实农业基础，保障重要农产品有效供给；扎实推进乡村建设，加快补齐农村人居环境和公共服务短板；发展壮大乡村产业，拓宽农民增收渠道；全面深化农村改革，激发乡村发展活力；完善乡村治理机制，保持农村社会和谐稳定；发挥农村党支部战斗堡垒作用，全面加强农村基层组织建设；加强党对“三农”工作的领导，落实农业农村优先发展总方针。</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3" w:name="_Toc15369"/>
      <w:r>
        <w:rPr>
          <w:rFonts w:hint="eastAsia" w:ascii="仿宋" w:hAnsi="仿宋" w:eastAsia="仿宋" w:cs="仿宋"/>
          <w:b/>
          <w:bCs/>
          <w:spacing w:val="6"/>
          <w:sz w:val="32"/>
          <w:szCs w:val="32"/>
        </w:rPr>
        <w:t>2.2</w:t>
      </w:r>
      <w:r>
        <w:rPr>
          <w:rFonts w:hint="eastAsia" w:ascii="仿宋" w:hAnsi="仿宋" w:eastAsia="仿宋" w:cs="仿宋"/>
          <w:b/>
          <w:bCs/>
          <w:spacing w:val="6"/>
          <w:sz w:val="32"/>
          <w:szCs w:val="32"/>
          <w:lang w:eastAsia="zh-CN"/>
        </w:rPr>
        <w:t>项目</w:t>
      </w:r>
      <w:r>
        <w:rPr>
          <w:rFonts w:hint="eastAsia" w:ascii="仿宋" w:hAnsi="仿宋" w:eastAsia="仿宋" w:cs="仿宋"/>
          <w:b/>
          <w:bCs/>
          <w:spacing w:val="6"/>
          <w:sz w:val="32"/>
          <w:szCs w:val="32"/>
        </w:rPr>
        <w:t>的建设内容及规模</w:t>
      </w:r>
      <w:bookmarkEnd w:id="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麦盖提县2023年昂格特勒克乡桥梁建设以工代赈示范工程。项目建设内容包括上部结构、下部结构及附属设施，位于昂格特勒克乡阿克布鲁买村境内，</w:t>
      </w:r>
      <w:r>
        <w:rPr>
          <w:rFonts w:hint="eastAsia" w:ascii="仿宋" w:hAnsi="仿宋" w:eastAsia="仿宋" w:cs="仿宋"/>
          <w:spacing w:val="6"/>
          <w:sz w:val="32"/>
          <w:szCs w:val="32"/>
          <w:lang w:eastAsia="zh-CN"/>
        </w:rPr>
        <w:t>改建中型桥梁54延米，及相关附属设施建设</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4" w:name="_Toc7876"/>
      <w:r>
        <w:rPr>
          <w:rFonts w:hint="eastAsia" w:ascii="仿宋" w:hAnsi="仿宋" w:eastAsia="仿宋" w:cs="仿宋"/>
          <w:b/>
          <w:bCs/>
          <w:spacing w:val="6"/>
          <w:sz w:val="32"/>
          <w:szCs w:val="32"/>
        </w:rPr>
        <w:t>2.3项目建设的必要性和可行性</w:t>
      </w:r>
      <w:bookmarkEnd w:id="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本项目以“农村公益性基础设施建设+劳务报酬发放+就业技能培训+公益性岗位设置”综合示范模式实施。项目示范完成后，通过中央预算内资金引导，促进项目区产业发展，增强农民增收的内生动力。</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生态宜居是乡村振兴的关键，我们要塑造较好的生态、适居的环境，是农村发展的优点和财富，也就是绿水青山便是金山银山。另外，我们也要推进农村的自然资源、资本、资产加速生产，让绿水青山变成金山银山。</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实施乡村振兴战略，是党的十九大作出的重大决策部署，是决胜全面建成小康社会、全面建设社会主义现代化国家的重大历史任务，是新时代做好“三农”工作的总抓手。农业强不强、农村美不美、农民富不富，决定着全面小康社会的成色和社会主义现代化的质量。要深刻认识实施乡村振兴战略的重要性和必要性，扎扎实实把乡村振兴战略实施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结合以工代赈项目和当地乡村振兴战略实施，帮助难以通过市场就业的脱贫群众和其他农村低收入人口，特别是易地扶贫搬迁脱贫人口实现就近就业，获得稳定收入，通过合理开发相关公益岗位，使用县级配套资金拟设置</w:t>
      </w:r>
      <w:r>
        <w:rPr>
          <w:rFonts w:hint="eastAsia" w:ascii="仿宋" w:hAnsi="仿宋" w:eastAsia="仿宋" w:cs="仿宋"/>
          <w:spacing w:val="6"/>
          <w:sz w:val="32"/>
          <w:szCs w:val="32"/>
          <w:lang w:eastAsia="zh-CN"/>
        </w:rPr>
        <w:t>桥梁</w:t>
      </w:r>
      <w:r>
        <w:rPr>
          <w:rFonts w:hint="eastAsia" w:ascii="仿宋" w:hAnsi="仿宋" w:eastAsia="仿宋" w:cs="仿宋"/>
          <w:spacing w:val="6"/>
          <w:sz w:val="32"/>
          <w:szCs w:val="32"/>
        </w:rPr>
        <w:t>养护管理员公益性岗位</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rPr>
        <w:t>个，</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rPr>
        <w:t>人共获得稳定收入</w:t>
      </w:r>
      <w:r>
        <w:rPr>
          <w:rFonts w:hint="eastAsia" w:ascii="仿宋" w:hAnsi="仿宋" w:eastAsia="仿宋" w:cs="仿宋"/>
          <w:spacing w:val="6"/>
          <w:sz w:val="32"/>
          <w:szCs w:val="32"/>
          <w:lang w:val="en-US" w:eastAsia="zh-CN"/>
        </w:rPr>
        <w:t>1.2</w:t>
      </w:r>
      <w:r>
        <w:rPr>
          <w:rFonts w:hint="eastAsia" w:ascii="仿宋" w:hAnsi="仿宋" w:eastAsia="仿宋" w:cs="仿宋"/>
          <w:spacing w:val="6"/>
          <w:sz w:val="32"/>
          <w:szCs w:val="32"/>
        </w:rPr>
        <w:t>万元/年。</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本示范项目一方面将带动麦盖提县基础设施建设，同时带动农副产品加工业、旅游业、物流业、餐饮业协同发展，实现“交通+旅游+产业”</w:t>
      </w:r>
      <w:r>
        <w:rPr>
          <w:rFonts w:hint="eastAsia" w:ascii="仿宋" w:hAnsi="仿宋" w:eastAsia="仿宋" w:cs="仿宋"/>
          <w:spacing w:val="6"/>
          <w:sz w:val="32"/>
          <w:szCs w:val="32"/>
          <w:lang w:eastAsia="zh-CN"/>
        </w:rPr>
        <w:t>振兴</w:t>
      </w:r>
      <w:r>
        <w:rPr>
          <w:rFonts w:hint="eastAsia" w:ascii="仿宋" w:hAnsi="仿宋" w:eastAsia="仿宋" w:cs="仿宋"/>
          <w:spacing w:val="6"/>
          <w:sz w:val="32"/>
          <w:szCs w:val="32"/>
        </w:rPr>
        <w:t>战略，</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依托本项目向农业旅游服务业延伸，打造休闲旅游、餐饮民宿、特色农产品采摘等产业，建设农业示范观光特色乡村旅游综合示范基地，进一步促进项目区特色农业、旅游业的可持续发展，形成综合产业发展效应，带动当地农民群众致富增收。</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5" w:name="_Toc30879"/>
      <w:r>
        <w:rPr>
          <w:rFonts w:hint="eastAsia" w:ascii="仿宋" w:hAnsi="仿宋" w:eastAsia="仿宋" w:cs="仿宋"/>
          <w:b/>
          <w:bCs/>
          <w:spacing w:val="6"/>
          <w:sz w:val="32"/>
          <w:szCs w:val="32"/>
        </w:rPr>
        <w:t>2.4综合条件评价</w:t>
      </w:r>
      <w:bookmarkEnd w:id="5"/>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bookmarkStart w:id="6" w:name="_Toc487840700"/>
      <w:bookmarkStart w:id="7" w:name="_Toc194122013"/>
      <w:r>
        <w:rPr>
          <w:rFonts w:hint="eastAsia" w:ascii="仿宋" w:hAnsi="仿宋" w:eastAsia="仿宋" w:cs="仿宋"/>
          <w:b/>
          <w:bCs/>
          <w:spacing w:val="6"/>
          <w:sz w:val="32"/>
          <w:szCs w:val="32"/>
        </w:rPr>
        <w:t>地理位置</w:t>
      </w:r>
      <w:bookmarkEnd w:id="6"/>
      <w:bookmarkEnd w:id="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bookmarkStart w:id="8" w:name="_Toc487840701"/>
      <w:bookmarkStart w:id="9" w:name="_Toc194122014"/>
      <w:r>
        <w:rPr>
          <w:rFonts w:hint="eastAsia" w:ascii="仿宋" w:hAnsi="仿宋" w:eastAsia="仿宋" w:cs="仿宋"/>
          <w:spacing w:val="6"/>
          <w:sz w:val="32"/>
          <w:szCs w:val="32"/>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公里，南北宽136公里，总面积为1.52万平方公里。海拔1155米-1195米。县城距首府乌鲁木齐市公路里程1410公里、距喀什市175公里、距巴楚火车站150公里，位于叶河流域五个县的中心，是毗邻叶尔羌河中游的一颗明珠，故又有“小金三角”之称。</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r>
        <w:rPr>
          <w:rFonts w:hint="eastAsia" w:ascii="仿宋" w:hAnsi="仿宋" w:eastAsia="仿宋" w:cs="仿宋"/>
          <w:b/>
          <w:bCs/>
          <w:spacing w:val="6"/>
          <w:sz w:val="32"/>
          <w:szCs w:val="32"/>
        </w:rPr>
        <w:t>地形、地貌</w:t>
      </w:r>
      <w:bookmarkEnd w:id="8"/>
      <w:bookmarkEnd w:id="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bookmarkStart w:id="10" w:name="_Toc1935512"/>
      <w:bookmarkStart w:id="11" w:name="_Toc487840702"/>
      <w:bookmarkStart w:id="12" w:name="_Toc194122015"/>
      <w:r>
        <w:rPr>
          <w:rFonts w:hint="eastAsia" w:ascii="仿宋" w:hAnsi="仿宋" w:eastAsia="仿宋" w:cs="仿宋"/>
          <w:spacing w:val="6"/>
          <w:sz w:val="32"/>
          <w:szCs w:val="32"/>
        </w:rPr>
        <w:t>麦盖提县地处喀什地区中部，克孜河流中下游冲积，洪积平原，境内西北依山，东南深入戈壁，沙漠，地形为西北走向的开阔盆地，地势自西南向东北倾斜，平均海拔1200米。麦盖提县境在大地结构上经历过古生代晚期强烈的天山和西昆仑造山运动后。区域地壳变动，曾长期相对稳定，更早新世以后，区域新构造运动继续发展，这些地质构造现象说明区域受挤压地壳缩短变形强烈。</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r>
        <w:rPr>
          <w:rFonts w:hint="eastAsia" w:ascii="仿宋" w:hAnsi="仿宋" w:eastAsia="仿宋" w:cs="仿宋"/>
          <w:b/>
          <w:bCs/>
          <w:spacing w:val="6"/>
          <w:sz w:val="32"/>
          <w:szCs w:val="32"/>
        </w:rPr>
        <w:t>区域地质条件</w:t>
      </w:r>
      <w:bookmarkEnd w:id="10"/>
      <w:bookmarkEnd w:id="11"/>
      <w:bookmarkEnd w:id="1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bookmarkStart w:id="13" w:name="_Toc194122016"/>
      <w:r>
        <w:rPr>
          <w:rFonts w:hint="eastAsia" w:ascii="仿宋" w:hAnsi="仿宋" w:eastAsia="仿宋" w:cs="仿宋"/>
          <w:spacing w:val="6"/>
          <w:sz w:val="32"/>
          <w:szCs w:val="32"/>
        </w:rPr>
        <w:t>路线范围为麦盖提县，麦盖提县城位于塔里木盆地边缘，塔里木盆地属于塔里木地台，位于天山、昆仑褶皱系之间，盆地东北为天山山脉，西为帕米尔高原，南为昆仑山脉，周边受深断裂围限，在形态上为菱形，塔里木盆地是一个比较稳定的地块，新构造运动中相对下降，盆地由西向东倾斜。来自昆仑山，天山的河流，搬运大量泥沙出山，大部分堆积于山簏，一部分进入平原地区，形成广阔的洪积-冲积平原及三角洲平原，以塔里木河冲积平原</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，沿河冲积平原为第四纪冲积沙层和粉沙层，</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厚度达300m，以风成地貌为主，气候极为干燥，在塔河下游，沿河新老漫滩及河阶地分布有大面积的天然胡杨林、红柳，在一些地下水位较高的洼地和沙丘之间生长着以矮生型芦苇、罗布麻为主的荒漠草甸植被。</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bookmarkStart w:id="14" w:name="_Toc487840703"/>
      <w:bookmarkStart w:id="15" w:name="_Toc1935513"/>
      <w:r>
        <w:rPr>
          <w:rFonts w:hint="eastAsia" w:ascii="仿宋" w:hAnsi="仿宋" w:eastAsia="仿宋" w:cs="仿宋"/>
          <w:b/>
          <w:bCs/>
          <w:spacing w:val="6"/>
          <w:sz w:val="32"/>
          <w:szCs w:val="32"/>
        </w:rPr>
        <w:t>水文地质条件</w:t>
      </w:r>
      <w:bookmarkEnd w:id="13"/>
      <w:bookmarkEnd w:id="14"/>
      <w:bookmarkEnd w:id="1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bookmarkStart w:id="16" w:name="_Toc194122017"/>
      <w:r>
        <w:rPr>
          <w:rFonts w:hint="eastAsia" w:ascii="仿宋" w:hAnsi="仿宋" w:eastAsia="仿宋" w:cs="仿宋"/>
          <w:spacing w:val="6"/>
          <w:sz w:val="32"/>
          <w:szCs w:val="32"/>
        </w:rPr>
        <w:t>麦盖提境内地下水资源比较丰富。全县地质结构和地貌状态上属山前倾斜平原。自山前向盆地过渡，有冲积扇—溢出带—冲积平原的普遍沉积规律。地层岩性相应地由粗到细，冲积扇吸收大量河渠、田间渗漏水和山区裂隙水，形成地下径流；其中部分在冲积扇缘溢出地表，成为泉水或混入河渠，大部进入冲积含水地层，转化为地下潜水和承压水。地下径流方向与河水流向基本相同。拟建合同段路线所经地表径流均为农田区排、灌渠，未穿越自然河道。叶尔羌河及提孜那浦河为当地地下水的主要补给源，经挖探地下水位很高，地下水位多在1-2m，因蒸发强烈形成大片次生盐碱化土地。</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bookmarkStart w:id="17" w:name="_Toc1935514"/>
      <w:r>
        <w:rPr>
          <w:rFonts w:hint="eastAsia" w:ascii="仿宋" w:hAnsi="仿宋" w:eastAsia="仿宋" w:cs="仿宋"/>
          <w:b/>
          <w:bCs/>
          <w:spacing w:val="6"/>
          <w:sz w:val="32"/>
          <w:szCs w:val="32"/>
        </w:rPr>
        <w:t>气候条件</w:t>
      </w:r>
      <w:bookmarkEnd w:id="16"/>
      <w:bookmarkEnd w:id="1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麦盖提县为温暖地带大陆性干旱气候，四季分明，气候干燥，日照时数长，晴好天气多，降水少，蒸发量大、昼夜温差大。</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b/>
          <w:spacing w:val="6"/>
          <w:sz w:val="32"/>
          <w:szCs w:val="32"/>
        </w:rPr>
        <w:t>气温：</w:t>
      </w:r>
      <w:r>
        <w:rPr>
          <w:rFonts w:hint="eastAsia" w:ascii="仿宋" w:hAnsi="仿宋" w:eastAsia="仿宋" w:cs="仿宋"/>
          <w:spacing w:val="6"/>
          <w:sz w:val="32"/>
          <w:szCs w:val="32"/>
        </w:rPr>
        <w:t> 麦盖提县属温带大陆性干燥气候，热量丰富，日照充足，昼夜温差大，冬季寒冷，夏季炎热，春季多风，秋季秋高气爽。年均日照2806小时以上，降水量39.4毫米，年积温4550小时以上，年平均气温11.8℃，最热月平均气温24.8℃，最冷月平均气温-6.8℃，极端最高气温40.0℃，极端最低气温-22.4℃。无霜期214天，</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冻土深度为0.90米。</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bookmarkStart w:id="18" w:name="_Toc1935515"/>
      <w:r>
        <w:rPr>
          <w:rFonts w:hint="eastAsia" w:ascii="仿宋" w:hAnsi="仿宋" w:eastAsia="仿宋" w:cs="仿宋"/>
          <w:b/>
          <w:bCs/>
          <w:spacing w:val="6"/>
          <w:sz w:val="32"/>
          <w:szCs w:val="32"/>
        </w:rPr>
        <w:t>筑路材料及运输条件</w:t>
      </w:r>
      <w:bookmarkEnd w:id="1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spacing w:val="6"/>
          <w:sz w:val="32"/>
          <w:szCs w:val="32"/>
        </w:rPr>
        <w:t>拟建项目区施工过程中所用的主要材料包括砂、钢材、木材、水泥、砂砾石、天然砂砾材料和水等。</w:t>
      </w:r>
      <w:bookmarkStart w:id="19" w:name="_Toc1935516"/>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r>
        <w:rPr>
          <w:rFonts w:hint="eastAsia" w:ascii="仿宋" w:hAnsi="仿宋" w:eastAsia="仿宋" w:cs="仿宋"/>
          <w:b/>
          <w:bCs/>
          <w:spacing w:val="6"/>
          <w:sz w:val="32"/>
          <w:szCs w:val="32"/>
        </w:rPr>
        <w:t>路线方案</w:t>
      </w:r>
      <w:bookmarkEnd w:id="1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lang w:eastAsia="zh-CN"/>
        </w:rPr>
        <w:t>项目在原有桥梁结构的位置上改建危桥，不改变项目的</w:t>
      </w:r>
      <w:r>
        <w:rPr>
          <w:rFonts w:hint="eastAsia" w:ascii="仿宋" w:hAnsi="仿宋" w:eastAsia="仿宋" w:cs="仿宋"/>
          <w:spacing w:val="6"/>
          <w:sz w:val="32"/>
          <w:szCs w:val="32"/>
        </w:rPr>
        <w:t>原有公路运输网络和沿线城镇规划布局</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施工</w:t>
      </w:r>
      <w:r>
        <w:rPr>
          <w:rFonts w:hint="eastAsia" w:ascii="仿宋" w:hAnsi="仿宋" w:eastAsia="仿宋" w:cs="仿宋"/>
          <w:spacing w:val="6"/>
          <w:sz w:val="32"/>
          <w:szCs w:val="32"/>
          <w:lang w:eastAsia="zh-CN"/>
        </w:rPr>
        <w:t>方便。麦盖提县昂格特勒克乡202</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lang w:eastAsia="zh-CN"/>
        </w:rPr>
        <w:t>年桥梁建设以工代赈示范工程</w:t>
      </w:r>
      <w:r>
        <w:rPr>
          <w:rFonts w:hint="eastAsia" w:ascii="仿宋" w:hAnsi="仿宋" w:eastAsia="仿宋" w:cs="仿宋"/>
          <w:spacing w:val="6"/>
          <w:sz w:val="32"/>
          <w:szCs w:val="32"/>
        </w:rPr>
        <w:t>，建设规模54延米，项目位于巴昂格特勒克乡阿克布鲁买村境内。该项目的实施，主要为改建桥梁，它是解决农村广大人民群众生产和生活需求的重要基础设施，是公路网的重要组成部分，也是骨架公路和重要干道的补充和延伸。</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本项目位于麦盖提县-昂格特勒克乡的主干道（X563线）上，居民生活水平整体较低，</w:t>
      </w:r>
      <w:r>
        <w:rPr>
          <w:rFonts w:hint="eastAsia" w:ascii="仿宋" w:hAnsi="仿宋" w:eastAsia="仿宋" w:cs="仿宋"/>
          <w:spacing w:val="6"/>
          <w:sz w:val="32"/>
          <w:szCs w:val="32"/>
          <w:lang w:eastAsia="zh-CN"/>
        </w:rPr>
        <w:t>脱贫不稳定户、边缘易致贫户、突发严重困难户、低收入者</w:t>
      </w:r>
      <w:r>
        <w:rPr>
          <w:rFonts w:hint="eastAsia" w:ascii="仿宋" w:hAnsi="仿宋" w:eastAsia="仿宋" w:cs="仿宋"/>
          <w:spacing w:val="6"/>
          <w:sz w:val="32"/>
          <w:szCs w:val="32"/>
        </w:rPr>
        <w:t>较多。</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是落实国家和自治区以工代赈扶贫开发重大战略，提高群众出行环境，实现共同富裕的需要项目。本项目作为麦盖提县以工代赈项目，项目的实施不仅对改善目前项目区</w:t>
      </w:r>
      <w:r>
        <w:rPr>
          <w:rFonts w:hint="eastAsia" w:ascii="仿宋" w:hAnsi="仿宋" w:eastAsia="仿宋" w:cs="仿宋"/>
          <w:spacing w:val="6"/>
          <w:sz w:val="32"/>
          <w:szCs w:val="32"/>
          <w:lang w:eastAsia="zh-CN"/>
        </w:rPr>
        <w:t>脱贫不稳定户、边缘易致贫户、突发严重困难户、低收入者的</w:t>
      </w:r>
      <w:r>
        <w:rPr>
          <w:rFonts w:hint="eastAsia" w:ascii="仿宋" w:hAnsi="仿宋" w:eastAsia="仿宋" w:cs="仿宋"/>
          <w:spacing w:val="6"/>
          <w:sz w:val="32"/>
          <w:szCs w:val="32"/>
        </w:rPr>
        <w:t>生产生活条件十分必要，同时对落实国家和自治区扶贫开发重大战略，提高当地</w:t>
      </w:r>
      <w:r>
        <w:rPr>
          <w:rFonts w:hint="eastAsia" w:ascii="仿宋" w:hAnsi="仿宋" w:eastAsia="仿宋" w:cs="仿宋"/>
          <w:spacing w:val="6"/>
          <w:sz w:val="32"/>
          <w:szCs w:val="32"/>
          <w:lang w:eastAsia="zh-CN"/>
        </w:rPr>
        <w:t>脱贫不稳定户、边缘易致贫户、突发严重困难户、低收入者的</w:t>
      </w:r>
      <w:r>
        <w:rPr>
          <w:rFonts w:hint="eastAsia" w:ascii="仿宋" w:hAnsi="仿宋" w:eastAsia="仿宋" w:cs="仿宋"/>
          <w:spacing w:val="6"/>
          <w:sz w:val="32"/>
          <w:szCs w:val="32"/>
        </w:rPr>
        <w:t>收入水平，实现共同富裕也具有积极的现实意义。</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原桥已经被评定为危桥、出行危险性极高，条件很差急需改造。该项目的修建，可以方便群众出行，改善路网结构，又对加速向城镇化建设发展，繁荣乡镇经济，提高人民生活水平和促进当地农、商、建、贸的迅速发展的重要的作用，并且满足当地人民出行便捷。</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项目的建设，有效地促进了当地的经济发展和社会发展。而且间接促进了当地生态环境的改善，项目的建设具有显著的社会效益、经济效益和生态效益。因此，该项目是可行的。</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p>
    <w:p>
      <w:pPr>
        <w:pStyle w:val="24"/>
        <w:pageBreakBefore w:val="0"/>
        <w:kinsoku/>
        <w:wordWrap/>
        <w:overflowPunct/>
        <w:topLinePunct w:val="0"/>
        <w:bidi w:val="0"/>
        <w:snapToGrid w:val="0"/>
        <w:spacing w:line="570" w:lineRule="exact"/>
        <w:ind w:firstLine="0" w:firstLineChars="0"/>
        <w:textAlignment w:val="baseline"/>
        <w:outlineLvl w:val="0"/>
        <w:rPr>
          <w:rFonts w:hint="eastAsia" w:ascii="仿宋" w:hAnsi="仿宋" w:eastAsia="仿宋" w:cs="仿宋"/>
          <w:b/>
          <w:bCs/>
          <w:spacing w:val="6"/>
          <w:sz w:val="36"/>
          <w:szCs w:val="36"/>
        </w:rPr>
      </w:pPr>
      <w:bookmarkStart w:id="20" w:name="_Toc5395"/>
      <w:r>
        <w:rPr>
          <w:rFonts w:hint="eastAsia" w:ascii="仿宋" w:hAnsi="仿宋" w:eastAsia="仿宋" w:cs="仿宋"/>
          <w:b/>
          <w:bCs/>
          <w:spacing w:val="6"/>
          <w:sz w:val="36"/>
          <w:szCs w:val="36"/>
        </w:rPr>
        <w:t>3.施工设计（设计或技术方案）</w:t>
      </w:r>
      <w:bookmarkEnd w:id="20"/>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21" w:name="_Toc28953"/>
      <w:r>
        <w:rPr>
          <w:rFonts w:hint="eastAsia" w:ascii="仿宋" w:hAnsi="仿宋" w:eastAsia="仿宋" w:cs="仿宋"/>
          <w:b/>
          <w:bCs/>
          <w:spacing w:val="6"/>
          <w:sz w:val="32"/>
          <w:szCs w:val="32"/>
        </w:rPr>
        <w:t>3.1项目设计（技术依据）</w:t>
      </w:r>
      <w:bookmarkEnd w:id="2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●《公路工程基本建设项目设计文件编制办法》交公路发[2007]358号</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●《公路工程技术标准》（JTGB01－2014）</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●《公路工程抗震规范》（JTGB02—2013）</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●《公路勘测规范》（JTGC10－2007）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●《公路路线设计规范》（JTGD20－2017）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●《公路路基设计规范》（JTGD30－2015）</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●《公路水泥混凝土路面设计规范》（JTGD40—2011）</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●《公路桥涵设计通用规范》（JTGD60－2015）</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●《公路钢筋混凝土及预应力混凝土桥涵设计规范》（JTGD62－2004）</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●《公路桥涵地基与基础设计规范》（JTG3363－2019）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●《公路桥梁抗震设计规范》（JTG/T2231-01－2020）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●《公路涵洞设计规范》（JGJ/T3365-02-2020）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●《公路排水设计规范》（JTG/TD33-2012）</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●《公路交通安全设施设计规范》（JTGD81－2017）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●《道路交通标志和标线》（GB5768-2009）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●《公路交通安全标志和标线设置规范》（JTGD82－2009）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●《公路环境保护设计规范》（JTGB04-2010）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●《新疆盐渍土地区公路路基路面设计与施工规范》（XJTJ01-2001）</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●《公路基本建设工程概算、预算编制办法》（JTG3830-2018）</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●国家现行的有关标准、规范、规程、规定等行施工图设计。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●新疆维吾尔自治区公路管理局《新疆通村公路建设指南》进行施工图设计。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国家及地方其他法律及规范。</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spacing w:val="6"/>
          <w:sz w:val="32"/>
          <w:szCs w:val="32"/>
        </w:rPr>
      </w:pPr>
      <w:bookmarkStart w:id="22" w:name="_Toc31382"/>
      <w:r>
        <w:rPr>
          <w:rFonts w:hint="eastAsia" w:ascii="仿宋" w:hAnsi="仿宋" w:eastAsia="仿宋" w:cs="仿宋"/>
          <w:spacing w:val="6"/>
          <w:sz w:val="32"/>
          <w:szCs w:val="32"/>
        </w:rPr>
        <w:t>3.2建设内容、规模、标准、投资设计等明细资料</w:t>
      </w:r>
      <w:bookmarkEnd w:id="22"/>
    </w:p>
    <w:p>
      <w:pPr>
        <w:pStyle w:val="24"/>
        <w:keepNext w:val="0"/>
        <w:keepLines w:val="0"/>
        <w:pageBreakBefore w:val="0"/>
        <w:widowControl w:val="0"/>
        <w:kinsoku/>
        <w:wordWrap/>
        <w:overflowPunct/>
        <w:topLinePunct w:val="0"/>
        <w:autoSpaceDE/>
        <w:autoSpaceDN/>
        <w:bidi w:val="0"/>
        <w:adjustRightInd/>
        <w:snapToGrid w:val="0"/>
        <w:spacing w:line="570" w:lineRule="exact"/>
        <w:ind w:left="0" w:leftChars="0" w:firstLine="667" w:firstLineChars="200"/>
        <w:textAlignment w:val="baseline"/>
        <w:rPr>
          <w:rFonts w:hint="eastAsia" w:ascii="仿宋" w:hAnsi="仿宋" w:eastAsia="仿宋" w:cs="仿宋"/>
          <w:spacing w:val="6"/>
          <w:sz w:val="32"/>
          <w:szCs w:val="32"/>
        </w:rPr>
      </w:pPr>
      <w:r>
        <w:rPr>
          <w:rFonts w:hint="eastAsia" w:ascii="仿宋" w:hAnsi="仿宋" w:eastAsia="仿宋" w:cs="仿宋"/>
          <w:b/>
          <w:bCs/>
          <w:spacing w:val="6"/>
          <w:sz w:val="32"/>
          <w:szCs w:val="32"/>
          <w:lang w:eastAsia="zh-CN"/>
        </w:rPr>
        <w:t>建设规模：</w:t>
      </w:r>
      <w:r>
        <w:rPr>
          <w:rFonts w:hint="eastAsia" w:ascii="仿宋" w:hAnsi="仿宋" w:eastAsia="仿宋" w:cs="仿宋"/>
          <w:spacing w:val="6"/>
          <w:sz w:val="32"/>
          <w:szCs w:val="32"/>
        </w:rPr>
        <w:t>建设桥梁总长度54延米。</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b/>
          <w:bCs/>
          <w:spacing w:val="6"/>
          <w:sz w:val="32"/>
          <w:szCs w:val="32"/>
          <w:lang w:eastAsia="zh-CN"/>
        </w:rPr>
        <w:t>建设内容</w:t>
      </w:r>
      <w:r>
        <w:rPr>
          <w:rFonts w:hint="eastAsia" w:ascii="仿宋" w:hAnsi="仿宋" w:eastAsia="仿宋" w:cs="仿宋"/>
          <w:b/>
          <w:bCs/>
          <w:spacing w:val="6"/>
          <w:sz w:val="32"/>
          <w:szCs w:val="32"/>
        </w:rPr>
        <w:t>：</w:t>
      </w:r>
      <w:r>
        <w:rPr>
          <w:rFonts w:hint="eastAsia" w:ascii="仿宋" w:hAnsi="仿宋" w:eastAsia="仿宋" w:cs="仿宋"/>
          <w:spacing w:val="6"/>
          <w:sz w:val="32"/>
          <w:szCs w:val="32"/>
          <w:lang w:eastAsia="zh-CN"/>
        </w:rPr>
        <w:t>改建中型桥梁54延米，及相关附属设施建设</w:t>
      </w:r>
      <w:r>
        <w:rPr>
          <w:rFonts w:hint="eastAsia" w:ascii="仿宋" w:hAnsi="仿宋" w:eastAsia="仿宋" w:cs="仿宋"/>
          <w:spacing w:val="6"/>
          <w:sz w:val="32"/>
          <w:szCs w:val="32"/>
        </w:rPr>
        <w:t>。</w:t>
      </w:r>
      <w:r>
        <w:rPr>
          <w:rFonts w:hint="eastAsia" w:ascii="仿宋" w:hAnsi="仿宋" w:eastAsia="仿宋" w:cs="仿宋"/>
          <w:spacing w:val="6"/>
          <w:kern w:val="2"/>
          <w:sz w:val="32"/>
          <w:szCs w:val="32"/>
          <w:lang w:val="en-US" w:eastAsia="zh-CN" w:bidi="ar-SA"/>
        </w:rPr>
        <w:t>详见路面工程数量表。</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rPr>
      </w:pPr>
      <w:r>
        <w:rPr>
          <w:rFonts w:hint="eastAsia" w:ascii="仿宋" w:hAnsi="仿宋" w:eastAsia="仿宋" w:cs="仿宋"/>
          <w:b/>
          <w:bCs/>
          <w:spacing w:val="6"/>
          <w:sz w:val="32"/>
          <w:szCs w:val="32"/>
        </w:rPr>
        <w:t>主要控制点及走向：</w:t>
      </w:r>
      <w:r>
        <w:rPr>
          <w:rFonts w:hint="eastAsia" w:ascii="仿宋" w:hAnsi="仿宋" w:eastAsia="仿宋" w:cs="仿宋"/>
          <w:spacing w:val="6"/>
          <w:sz w:val="32"/>
          <w:szCs w:val="32"/>
        </w:rPr>
        <w:t>主要控制点为</w:t>
      </w:r>
      <w:r>
        <w:rPr>
          <w:rFonts w:hint="eastAsia" w:ascii="仿宋" w:hAnsi="仿宋" w:eastAsia="仿宋" w:cs="仿宋"/>
          <w:spacing w:val="6"/>
          <w:sz w:val="32"/>
          <w:szCs w:val="32"/>
          <w:lang w:eastAsia="zh-CN"/>
        </w:rPr>
        <w:t>原桥梁</w:t>
      </w:r>
      <w:r>
        <w:rPr>
          <w:rFonts w:hint="eastAsia" w:ascii="仿宋" w:hAnsi="仿宋" w:eastAsia="仿宋" w:cs="仿宋"/>
          <w:spacing w:val="6"/>
          <w:sz w:val="32"/>
          <w:szCs w:val="32"/>
        </w:rPr>
        <w:t>起终点</w:t>
      </w:r>
      <w:r>
        <w:rPr>
          <w:rFonts w:hint="eastAsia" w:ascii="仿宋" w:hAnsi="仿宋" w:eastAsia="仿宋" w:cs="仿宋"/>
          <w:spacing w:val="6"/>
          <w:sz w:val="32"/>
          <w:szCs w:val="32"/>
          <w:lang w:eastAsia="zh-CN"/>
        </w:rPr>
        <w:t>，新改建桥梁不改变原桥梁的走向位置</w:t>
      </w:r>
      <w:r>
        <w:rPr>
          <w:rFonts w:hint="eastAsia" w:ascii="仿宋" w:hAnsi="仿宋" w:eastAsia="仿宋" w:cs="仿宋"/>
          <w:spacing w:val="6"/>
          <w:sz w:val="32"/>
          <w:szCs w:val="32"/>
        </w:rPr>
        <w:t>。</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rPr>
      </w:pPr>
    </w:p>
    <w:p>
      <w:pPr>
        <w:pStyle w:val="24"/>
        <w:pageBreakBefore w:val="0"/>
        <w:kinsoku/>
        <w:wordWrap/>
        <w:overflowPunct/>
        <w:topLinePunct w:val="0"/>
        <w:bidi w:val="0"/>
        <w:snapToGrid w:val="0"/>
        <w:spacing w:line="570" w:lineRule="exact"/>
        <w:ind w:firstLine="0" w:firstLineChars="0"/>
        <w:textAlignment w:val="baseline"/>
        <w:outlineLvl w:val="0"/>
        <w:rPr>
          <w:rFonts w:hint="eastAsia" w:ascii="仿宋" w:hAnsi="仿宋" w:eastAsia="仿宋" w:cs="仿宋"/>
          <w:b/>
          <w:bCs/>
          <w:spacing w:val="6"/>
          <w:sz w:val="36"/>
          <w:szCs w:val="36"/>
        </w:rPr>
      </w:pPr>
      <w:bookmarkStart w:id="23" w:name="_Toc12389"/>
      <w:r>
        <w:rPr>
          <w:rFonts w:hint="eastAsia" w:ascii="仿宋" w:hAnsi="仿宋" w:eastAsia="仿宋" w:cs="仿宋"/>
          <w:b/>
          <w:bCs/>
          <w:spacing w:val="6"/>
          <w:sz w:val="36"/>
          <w:szCs w:val="36"/>
        </w:rPr>
        <w:t>4.投资概算和资金筹措</w:t>
      </w:r>
      <w:bookmarkEnd w:id="23"/>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24" w:name="_Toc22357"/>
      <w:r>
        <w:rPr>
          <w:rFonts w:hint="eastAsia" w:ascii="仿宋" w:hAnsi="仿宋" w:eastAsia="仿宋" w:cs="仿宋"/>
          <w:b/>
          <w:bCs/>
          <w:spacing w:val="6"/>
          <w:sz w:val="32"/>
          <w:szCs w:val="32"/>
        </w:rPr>
        <w:t>4.1项目总投资</w:t>
      </w:r>
      <w:bookmarkEnd w:id="2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z w:val="32"/>
          <w:szCs w:val="32"/>
          <w:lang w:eastAsia="zh-CN"/>
        </w:rPr>
      </w:pPr>
      <w:r>
        <w:rPr>
          <w:rFonts w:hint="eastAsia" w:ascii="仿宋" w:hAnsi="仿宋" w:eastAsia="仿宋" w:cs="仿宋"/>
          <w:spacing w:val="6"/>
          <w:sz w:val="32"/>
          <w:szCs w:val="32"/>
          <w:lang w:eastAsia="zh-CN"/>
        </w:rPr>
        <w:t>改建中型桥梁54延米，及相关附属设施建设，</w:t>
      </w:r>
      <w:r>
        <w:rPr>
          <w:rFonts w:hint="eastAsia" w:ascii="仿宋" w:hAnsi="仿宋" w:eastAsia="仿宋" w:cs="仿宋"/>
          <w:spacing w:val="6"/>
          <w:sz w:val="32"/>
          <w:szCs w:val="32"/>
        </w:rPr>
        <w:t>总投资320万元</w:t>
      </w:r>
      <w:r>
        <w:rPr>
          <w:rFonts w:hint="eastAsia" w:ascii="仿宋" w:hAnsi="仿宋" w:eastAsia="仿宋" w:cs="仿宋"/>
          <w:spacing w:val="6"/>
          <w:sz w:val="32"/>
          <w:szCs w:val="32"/>
          <w:lang w:eastAsia="zh-CN"/>
        </w:rPr>
        <w:t>。</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25" w:name="_Toc3036"/>
      <w:r>
        <w:rPr>
          <w:rFonts w:hint="eastAsia" w:ascii="仿宋" w:hAnsi="仿宋" w:eastAsia="仿宋" w:cs="仿宋"/>
          <w:b/>
          <w:bCs/>
          <w:spacing w:val="6"/>
          <w:sz w:val="32"/>
          <w:szCs w:val="32"/>
        </w:rPr>
        <w:t>4.2资金筹措</w:t>
      </w:r>
      <w:bookmarkEnd w:id="2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资金来源</w:t>
      </w:r>
      <w:r>
        <w:rPr>
          <w:rFonts w:hint="eastAsia" w:ascii="仿宋" w:hAnsi="仿宋" w:eastAsia="仿宋" w:cs="仿宋"/>
          <w:spacing w:val="6"/>
          <w:sz w:val="32"/>
          <w:szCs w:val="32"/>
          <w:lang w:eastAsia="zh-CN"/>
        </w:rPr>
        <w:t>申请</w:t>
      </w:r>
      <w:r>
        <w:rPr>
          <w:rFonts w:hint="eastAsia" w:ascii="仿宋" w:hAnsi="仿宋" w:eastAsia="仿宋" w:cs="仿宋"/>
          <w:spacing w:val="6"/>
          <w:sz w:val="32"/>
          <w:szCs w:val="32"/>
        </w:rPr>
        <w:t>中央预算内资金320万元。</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26" w:name="_Toc10995"/>
      <w:r>
        <w:rPr>
          <w:rFonts w:hint="eastAsia" w:ascii="仿宋" w:hAnsi="仿宋" w:eastAsia="仿宋" w:cs="仿宋"/>
          <w:b/>
          <w:bCs/>
          <w:spacing w:val="6"/>
          <w:sz w:val="32"/>
          <w:szCs w:val="32"/>
        </w:rPr>
        <w:t>4.3资金使用和管理</w:t>
      </w:r>
      <w:bookmarkEnd w:id="2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乡村振兴战略是新时代做好“三农”工作的总抓手。2018年两会期间，中共中央总书记、国家主席、中央军委主席习近平提出要推动乡村产业振兴、人才振兴、文化振兴、生态振兴和组织振兴。9月26日发布的《乡村振兴战略规划（2018－2022年）》也明确，要科学有序推动乡村产业、人才、文化、生态和组织振兴。项目实施单位依据项目计划和实施进度</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提出支付申请并提供相关真实、合规的证明材料，制定资金使用计划，经审核后按照国库集中支付管理制度的规定和程序及时支付资金。从国库直接支付到扶贫项目承担的企业、商户或建档立卡</w:t>
      </w:r>
      <w:r>
        <w:rPr>
          <w:rFonts w:hint="eastAsia" w:ascii="仿宋" w:hAnsi="仿宋" w:eastAsia="仿宋" w:cs="仿宋"/>
          <w:spacing w:val="6"/>
          <w:sz w:val="32"/>
          <w:szCs w:val="32"/>
          <w:lang w:eastAsia="zh-CN"/>
        </w:rPr>
        <w:t>低收入</w:t>
      </w:r>
      <w:r>
        <w:rPr>
          <w:rFonts w:hint="eastAsia" w:ascii="仿宋" w:hAnsi="仿宋" w:eastAsia="仿宋" w:cs="仿宋"/>
          <w:spacing w:val="6"/>
          <w:sz w:val="32"/>
          <w:szCs w:val="32"/>
        </w:rPr>
        <w:t>户个人。严格执行专款专用，杜绝挤占、挪用项目资金，严禁虚列支出、以拨代支虚增项目进度。项目资金支付后</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在审计或检查中发现资金使用存在违法违规问题的，应及时追回、收回。对资金使用严格监管，防止资金使用不精准、虚报冒领。为加快资金支出进度，扶贫项目可实行预付款制，预付资金总额合计原则上不超过应付该项目资金总额的50%，其中：基础建设类项目预付资金原则上不超过合同金额的30%。</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27" w:name="_Toc11673"/>
      <w:r>
        <w:rPr>
          <w:rFonts w:hint="eastAsia" w:ascii="仿宋" w:hAnsi="仿宋" w:eastAsia="仿宋" w:cs="仿宋"/>
          <w:b/>
          <w:bCs/>
          <w:spacing w:val="6"/>
          <w:sz w:val="32"/>
          <w:szCs w:val="32"/>
        </w:rPr>
        <w:t>4.4公益性岗位设置，获得稳定收入</w:t>
      </w:r>
      <w:bookmarkEnd w:id="2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结合以工代赈项目和当地乡村振兴战略实施，帮助难以通过市场就业的脱贫群众和其他农村低收入人口，特别是易地扶贫搬迁脱贫人口实现就近就业，获得稳定收入，通过合理开发相关公益岗位，使用县级配套资金拟设置</w:t>
      </w:r>
      <w:r>
        <w:rPr>
          <w:rFonts w:hint="eastAsia" w:ascii="仿宋" w:hAnsi="仿宋" w:eastAsia="仿宋" w:cs="仿宋"/>
          <w:spacing w:val="6"/>
          <w:sz w:val="32"/>
          <w:szCs w:val="32"/>
          <w:lang w:eastAsia="zh-CN"/>
        </w:rPr>
        <w:t>桥梁</w:t>
      </w:r>
      <w:r>
        <w:rPr>
          <w:rFonts w:hint="eastAsia" w:ascii="仿宋" w:hAnsi="仿宋" w:eastAsia="仿宋" w:cs="仿宋"/>
          <w:spacing w:val="6"/>
          <w:sz w:val="32"/>
          <w:szCs w:val="32"/>
        </w:rPr>
        <w:t>养护管理员公益性岗位1个，易地扶贫搬迁人口1人，共获得稳定收入</w:t>
      </w:r>
      <w:r>
        <w:rPr>
          <w:rFonts w:hint="eastAsia" w:ascii="仿宋" w:hAnsi="仿宋" w:eastAsia="仿宋" w:cs="仿宋"/>
          <w:spacing w:val="6"/>
          <w:sz w:val="32"/>
          <w:szCs w:val="32"/>
          <w:lang w:val="en-US" w:eastAsia="zh-CN"/>
        </w:rPr>
        <w:t>1.2</w:t>
      </w:r>
      <w:r>
        <w:rPr>
          <w:rFonts w:hint="eastAsia" w:ascii="仿宋" w:hAnsi="仿宋" w:eastAsia="仿宋" w:cs="仿宋"/>
          <w:spacing w:val="6"/>
          <w:sz w:val="32"/>
          <w:szCs w:val="32"/>
        </w:rPr>
        <w:t>万元/年。</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p>
    <w:p>
      <w:pPr>
        <w:pStyle w:val="24"/>
        <w:pageBreakBefore w:val="0"/>
        <w:kinsoku/>
        <w:wordWrap/>
        <w:overflowPunct/>
        <w:topLinePunct w:val="0"/>
        <w:bidi w:val="0"/>
        <w:snapToGrid w:val="0"/>
        <w:spacing w:line="570" w:lineRule="exact"/>
        <w:ind w:firstLine="0" w:firstLineChars="0"/>
        <w:textAlignment w:val="baseline"/>
        <w:outlineLvl w:val="0"/>
        <w:rPr>
          <w:rFonts w:hint="eastAsia" w:ascii="仿宋" w:hAnsi="仿宋" w:eastAsia="仿宋" w:cs="仿宋"/>
          <w:b/>
          <w:bCs/>
          <w:spacing w:val="6"/>
          <w:sz w:val="36"/>
          <w:szCs w:val="36"/>
        </w:rPr>
      </w:pPr>
      <w:bookmarkStart w:id="28" w:name="_Toc1049"/>
      <w:r>
        <w:rPr>
          <w:rFonts w:hint="eastAsia" w:ascii="仿宋" w:hAnsi="仿宋" w:eastAsia="仿宋" w:cs="仿宋"/>
          <w:b/>
          <w:bCs/>
          <w:spacing w:val="6"/>
          <w:sz w:val="36"/>
          <w:szCs w:val="36"/>
        </w:rPr>
        <w:t>5.项目实施保障措施</w:t>
      </w:r>
      <w:bookmarkEnd w:id="28"/>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29" w:name="_Toc10930"/>
      <w:r>
        <w:rPr>
          <w:rFonts w:hint="eastAsia" w:ascii="仿宋" w:hAnsi="仿宋" w:eastAsia="仿宋" w:cs="仿宋"/>
          <w:b/>
          <w:bCs/>
          <w:spacing w:val="6"/>
          <w:sz w:val="32"/>
          <w:szCs w:val="32"/>
        </w:rPr>
        <w:t>5.1组织领导机构</w:t>
      </w:r>
      <w:bookmarkEnd w:id="29"/>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县人民政府决策部署，督促落实情况。主管及实施部门为</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交通运输局，负责项目全过程管理，落实县人民政府的决策部署。项目所在乡镇及村委会，积极配合项目实施工作，对项目顺利推进提供必要的支持，在项目实施阶段同时做好监督工作，确保工程保质保量。</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为了保证项目能够顺利实施，保证质量按时完成，麦盖提县交通运输局作为项目监督单位、麦盖提县农村公路养护所作为实施单位，成立了项目工作专班。领导小组成员，组长：阿不都阿克木·买买提，副组长：丁祥伟。成员：唐晓红、托合提·巴克、杨丽阳、刘云。</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专班组下设办公室，办公室主任由丁祥伟、唐晓红同志兼任，负责全面处理日常事务。</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专班组办公室主要职责：专班组办公室负责日常工作，确保危桥改造项目早开工、早建设、早完工，群众早受益。</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建立与县乡村振兴局及上级交通运输部门等有关部门工作中的信息沟通和协调，配合完场各项工作。</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做好项目相关信息采集、整理、上报等工作。</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负责协调解决项目实施过程中存在的具体问题。</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30" w:name="_Toc10316"/>
      <w:r>
        <w:rPr>
          <w:rFonts w:hint="eastAsia" w:ascii="仿宋" w:hAnsi="仿宋" w:eastAsia="仿宋" w:cs="仿宋"/>
          <w:b/>
          <w:bCs/>
          <w:spacing w:val="6"/>
          <w:sz w:val="32"/>
          <w:szCs w:val="32"/>
        </w:rPr>
        <w:t>5.2技术保障措施</w:t>
      </w:r>
      <w:bookmarkEnd w:id="30"/>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r>
        <w:rPr>
          <w:rFonts w:hint="eastAsia" w:ascii="仿宋" w:hAnsi="仿宋" w:eastAsia="仿宋" w:cs="仿宋"/>
          <w:b/>
          <w:bCs/>
          <w:spacing w:val="6"/>
          <w:sz w:val="32"/>
          <w:szCs w:val="32"/>
        </w:rPr>
        <w:t>工程建设应符合公路工程行业相关规范：</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●《公路工程基本建设项目设计文件编制办法》交公路发[2007]358号</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●《公路工程技术标准》（JTGB01－2014）</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●《公路工程抗震规范》（JTGB02—2013）</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●《公路勘测规范》（JTGC10－2007）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●《公路路线设计规范》（JTGD20－2017）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●《公路路基设计规范》（JTGD30－2015）</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●《公路水泥混凝土路面设计规范》（JTGD40—2011）</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●《公路桥涵设计通用规范》（JTGD60－2015）</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●《公路钢筋混凝土及预应力混凝土桥涵设计规范》（JTGD62－2004）</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●《公路桥涵地基与基础设计规范》（JTGD63－2007）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●《公路桥梁抗震设计细则》（JTG/TB02-01－2008）</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●《公路涵洞设计细则》（JGJ/TD65-04-2007）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●《公路排水设计规范》（JTG/TD33-2012）</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●《公路交通安全设施设计规范》（JTGD81－2017）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●《道路交通标志和标线》（GB5768-2009）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●《公路交通安全标志和标线设置规范》（JTGD82－2009）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●《公路环境保护设计规范》（JTGB04-2010）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●《新疆盐渍土地区公路路基路面设计与施工规范》（XJTJ01-2001）</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●《公路基本建设工程概算、预算编制办法》（JTGB06-2007）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●国家现行的有关标准、规范、规程、规定等行施工图设计。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●新疆维吾尔自治区公路管理局《新疆通村公路建设指南》进行施工图设计。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spacing w:val="6"/>
          <w:sz w:val="32"/>
          <w:szCs w:val="32"/>
        </w:rPr>
        <w:t>国家及地方其他法律及规范。</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31" w:name="_Toc19512"/>
      <w:r>
        <w:rPr>
          <w:rFonts w:hint="eastAsia" w:ascii="仿宋" w:hAnsi="仿宋" w:eastAsia="仿宋" w:cs="仿宋"/>
          <w:b/>
          <w:bCs/>
          <w:spacing w:val="6"/>
          <w:sz w:val="32"/>
          <w:szCs w:val="32"/>
        </w:rPr>
        <w:t>5.3项目管理、监督检查制度</w:t>
      </w:r>
      <w:bookmarkEnd w:id="3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为保质保量按时完成该项目，需实行目标管理责任制，明确领导小组各成员的职责，全面推行项目建设责任制、项目法人责任制，建立健全扶贫资产公开公示、定期巡查、绩效考核、结果反馈等检查机制，对项目经营运行、收益分配、后期管护等环节进行全程监督，保障扶贫资产安全有效。</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32" w:name="_Toc30584"/>
      <w:r>
        <w:rPr>
          <w:rFonts w:hint="eastAsia" w:ascii="仿宋" w:hAnsi="仿宋" w:eastAsia="仿宋" w:cs="仿宋"/>
          <w:b/>
          <w:bCs/>
          <w:spacing w:val="6"/>
          <w:sz w:val="32"/>
          <w:szCs w:val="32"/>
        </w:rPr>
        <w:t>5.4验收管理</w:t>
      </w:r>
      <w:bookmarkEnd w:id="3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根据相关文件要求，坚持项目竣工验收制度，遵照属地管理、“谁审批、谁验收”的原则。按照村、乡、县三个级别逐级开展验收工作。</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33" w:name="_Toc10526"/>
      <w:r>
        <w:rPr>
          <w:rFonts w:hint="eastAsia" w:ascii="仿宋" w:hAnsi="仿宋" w:eastAsia="仿宋" w:cs="仿宋"/>
          <w:b/>
          <w:bCs/>
          <w:spacing w:val="6"/>
          <w:sz w:val="32"/>
          <w:szCs w:val="32"/>
        </w:rPr>
        <w:t>5.5运营模式和运营管理</w:t>
      </w:r>
      <w:bookmarkEnd w:id="3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资产收益类重点体现资产移交、监督管理机制、资产收益分红情况、风险防控机制；基础设施建设类重点体现资产移交及后期管护、公共服务类重点体现资产移交及后期管护、产业类重点体现与企业的合作方式、运营管理模式、监督管理机制、效益分红情况、风险防控机制；到户类重点体现具体实施过程、验收情况、当期收益情况等等。</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项目竣工后，按照“谁使用、谁管理、谁负责”的原则，做好产权移交工作。县级扶贫部门要牵头制定项目后期管护制度，明确项目后期管护主体和工作责任。</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34" w:name="_Toc20650"/>
      <w:r>
        <w:rPr>
          <w:rFonts w:hint="eastAsia" w:ascii="仿宋" w:hAnsi="仿宋" w:eastAsia="仿宋" w:cs="仿宋"/>
          <w:b/>
          <w:bCs/>
          <w:spacing w:val="6"/>
          <w:sz w:val="32"/>
          <w:szCs w:val="32"/>
        </w:rPr>
        <w:t>5.6劳务报酬发放</w:t>
      </w:r>
      <w:bookmarkEnd w:id="3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本工程优先从本地低收入群体特别是易地扶贫搬迁群众中组织参与该工程建设。</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在人民政府的主导下，各村委会与项目实施单位之间建立劳务信息沟通机制，根据项目实施单位用工需求，瞄准建档立卡已脱贫人口，重点支持易地扶贫搬迁脱贫群众、脱贫不稳定户、边缘易致贫户，和其他农村低收入群体，做好务工群众的动员组织工作，鼓励组织务工群众组建一支施工队伍，为项目实施提供劳务保障，并督促项目实施单位及时足额向务工群众发放劳务报酬。</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本项目实施后，预计带动务工群众70人，其中：当地群众70人（脱贫不稳定户、边缘易致贫户、其他农村低收入群体56人，易地搬迁群众14人），预计需要用工6</w:t>
      </w:r>
      <w:r>
        <w:rPr>
          <w:rFonts w:hint="eastAsia" w:ascii="仿宋" w:hAnsi="仿宋" w:eastAsia="仿宋" w:cs="仿宋"/>
          <w:color w:val="auto"/>
          <w:spacing w:val="6"/>
          <w:sz w:val="32"/>
          <w:szCs w:val="32"/>
          <w:lang w:val="en-US" w:eastAsia="zh-CN"/>
        </w:rPr>
        <w:t>666</w:t>
      </w:r>
      <w:r>
        <w:rPr>
          <w:rFonts w:hint="eastAsia" w:ascii="仿宋" w:hAnsi="仿宋" w:eastAsia="仿宋" w:cs="仿宋"/>
          <w:color w:val="auto"/>
          <w:spacing w:val="6"/>
          <w:sz w:val="32"/>
          <w:szCs w:val="32"/>
        </w:rPr>
        <w:t>工日，人均工资150元/天，预计发放劳务报酬</w:t>
      </w:r>
      <w:r>
        <w:rPr>
          <w:rFonts w:hint="eastAsia" w:ascii="仿宋" w:hAnsi="仿宋" w:eastAsia="仿宋" w:cs="仿宋"/>
          <w:color w:val="auto"/>
          <w:spacing w:val="6"/>
          <w:sz w:val="32"/>
          <w:szCs w:val="32"/>
          <w:lang w:val="en-US" w:eastAsia="zh-CN"/>
        </w:rPr>
        <w:t>100</w:t>
      </w:r>
      <w:r>
        <w:rPr>
          <w:rFonts w:hint="eastAsia" w:ascii="仿宋" w:hAnsi="仿宋" w:eastAsia="仿宋" w:cs="仿宋"/>
          <w:color w:val="auto"/>
          <w:spacing w:val="6"/>
          <w:sz w:val="32"/>
          <w:szCs w:val="32"/>
        </w:rPr>
        <w:t>万元，占</w:t>
      </w:r>
      <w:r>
        <w:rPr>
          <w:rFonts w:hint="eastAsia" w:ascii="仿宋" w:hAnsi="仿宋" w:eastAsia="仿宋" w:cs="仿宋"/>
          <w:color w:val="auto"/>
          <w:spacing w:val="6"/>
          <w:sz w:val="32"/>
          <w:szCs w:val="32"/>
          <w:lang w:eastAsia="zh-CN"/>
        </w:rPr>
        <w:t>中央预算内资金</w:t>
      </w:r>
      <w:r>
        <w:rPr>
          <w:rFonts w:hint="eastAsia" w:ascii="仿宋" w:hAnsi="仿宋" w:eastAsia="仿宋" w:cs="仿宋"/>
          <w:color w:val="auto"/>
          <w:spacing w:val="6"/>
          <w:sz w:val="32"/>
          <w:szCs w:val="32"/>
        </w:rPr>
        <w:t>的</w:t>
      </w:r>
      <w:r>
        <w:rPr>
          <w:rFonts w:hint="eastAsia" w:ascii="仿宋" w:hAnsi="仿宋" w:eastAsia="仿宋" w:cs="仿宋"/>
          <w:color w:val="auto"/>
          <w:spacing w:val="6"/>
          <w:sz w:val="32"/>
          <w:szCs w:val="32"/>
          <w:lang w:val="en-US" w:eastAsia="zh-CN"/>
        </w:rPr>
        <w:t>31.25</w:t>
      </w:r>
      <w:r>
        <w:rPr>
          <w:rFonts w:hint="eastAsia" w:ascii="仿宋" w:hAnsi="仿宋" w:eastAsia="仿宋" w:cs="仿宋"/>
          <w:color w:val="auto"/>
          <w:spacing w:val="6"/>
          <w:sz w:val="32"/>
          <w:szCs w:val="32"/>
        </w:rPr>
        <w:t>%，其中脱贫人口劳务支出</w:t>
      </w:r>
      <w:r>
        <w:rPr>
          <w:rFonts w:hint="eastAsia" w:ascii="仿宋" w:hAnsi="仿宋" w:eastAsia="仿宋" w:cs="仿宋"/>
          <w:color w:val="auto"/>
          <w:spacing w:val="6"/>
          <w:sz w:val="32"/>
          <w:szCs w:val="32"/>
          <w:lang w:val="en-US" w:eastAsia="zh-CN"/>
        </w:rPr>
        <w:t>80</w:t>
      </w:r>
      <w:r>
        <w:rPr>
          <w:rFonts w:hint="eastAsia" w:ascii="仿宋" w:hAnsi="仿宋" w:eastAsia="仿宋" w:cs="仿宋"/>
          <w:color w:val="auto"/>
          <w:spacing w:val="6"/>
          <w:sz w:val="32"/>
          <w:szCs w:val="32"/>
        </w:rPr>
        <w:t>万元，占劳务报酬发放总额的80%，易地搬迁人口劳务支出</w:t>
      </w:r>
      <w:r>
        <w:rPr>
          <w:rFonts w:hint="eastAsia" w:ascii="仿宋" w:hAnsi="仿宋" w:eastAsia="仿宋" w:cs="仿宋"/>
          <w:color w:val="auto"/>
          <w:spacing w:val="6"/>
          <w:sz w:val="32"/>
          <w:szCs w:val="32"/>
          <w:lang w:val="en-US" w:eastAsia="zh-CN"/>
        </w:rPr>
        <w:t>20</w:t>
      </w:r>
      <w:r>
        <w:rPr>
          <w:rFonts w:hint="eastAsia" w:ascii="仿宋" w:hAnsi="仿宋" w:eastAsia="仿宋" w:cs="仿宋"/>
          <w:color w:val="auto"/>
          <w:spacing w:val="6"/>
          <w:sz w:val="32"/>
          <w:szCs w:val="32"/>
        </w:rPr>
        <w:t>万元，占劳务报酬发放总额的</w:t>
      </w:r>
      <w:r>
        <w:rPr>
          <w:rFonts w:hint="eastAsia" w:ascii="仿宋" w:hAnsi="仿宋" w:eastAsia="仿宋" w:cs="仿宋"/>
          <w:color w:val="auto"/>
          <w:spacing w:val="6"/>
          <w:sz w:val="32"/>
          <w:szCs w:val="32"/>
          <w:lang w:val="en-US" w:eastAsia="zh-CN"/>
        </w:rPr>
        <w:t>20</w:t>
      </w:r>
      <w:r>
        <w:rPr>
          <w:rFonts w:hint="eastAsia" w:ascii="仿宋" w:hAnsi="仿宋" w:eastAsia="仿宋" w:cs="仿宋"/>
          <w:color w:val="auto"/>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实施后，建设单位提取项目工程费用占比30%的农名工劳务报酬依法按程序存入银行账户进行监管，并设立务工人员工资专卡，依法依规使用。施工方根据项目建设进度按月编制务工工资表，经业主和发改主管部门相关负责人签字确认后，方可由代发银行统一发放至务工人员工资专卡。在项目期间，劳务报酬的发放工作应当做到公开、足额、及时，严禁克扣和拖欠。</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p>
    <w:p>
      <w:pPr>
        <w:pStyle w:val="24"/>
        <w:keepNext w:val="0"/>
        <w:keepLines w:val="0"/>
        <w:pageBreakBefore w:val="0"/>
        <w:widowControl w:val="0"/>
        <w:kinsoku/>
        <w:wordWrap/>
        <w:overflowPunct/>
        <w:topLinePunct w:val="0"/>
        <w:autoSpaceDE/>
        <w:autoSpaceDN/>
        <w:bidi w:val="0"/>
        <w:adjustRightInd/>
        <w:snapToGrid w:val="0"/>
        <w:spacing w:line="570" w:lineRule="exact"/>
        <w:ind w:firstLine="1666" w:firstLineChars="500"/>
        <w:textAlignment w:val="baseline"/>
        <w:outlineLvl w:val="9"/>
        <w:rPr>
          <w:rFonts w:hint="eastAsia" w:ascii="仿宋" w:hAnsi="仿宋" w:eastAsia="仿宋" w:cs="仿宋"/>
          <w:b/>
          <w:bCs/>
          <w:spacing w:val="6"/>
          <w:sz w:val="32"/>
          <w:szCs w:val="32"/>
        </w:rPr>
      </w:pPr>
      <w:r>
        <w:rPr>
          <w:rFonts w:hint="eastAsia" w:ascii="仿宋" w:hAnsi="仿宋" w:eastAsia="仿宋" w:cs="仿宋"/>
          <w:b/>
          <w:bCs/>
          <w:spacing w:val="6"/>
          <w:sz w:val="32"/>
          <w:szCs w:val="32"/>
        </w:rPr>
        <w:t>表一：工程项目实施农村劳动力劳务总额表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83"/>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restart"/>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序号</w:t>
            </w:r>
          </w:p>
        </w:tc>
        <w:tc>
          <w:tcPr>
            <w:tcW w:w="1583" w:type="dxa"/>
            <w:vMerge w:val="restart"/>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项目或费用名称</w:t>
            </w:r>
          </w:p>
        </w:tc>
        <w:tc>
          <w:tcPr>
            <w:tcW w:w="6472" w:type="dxa"/>
            <w:gridSpan w:val="5"/>
            <w:vAlign w:val="center"/>
          </w:tcPr>
          <w:p>
            <w:pPr>
              <w:pStyle w:val="24"/>
              <w:pageBreakBefore w:val="0"/>
              <w:tabs>
                <w:tab w:val="left" w:pos="1692"/>
              </w:tabs>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用工情况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005" w:type="dxa"/>
            <w:vMerge w:val="continue"/>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p>
        </w:tc>
        <w:tc>
          <w:tcPr>
            <w:tcW w:w="1583" w:type="dxa"/>
            <w:vMerge w:val="continue"/>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吸纳务工（工日）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用人数量（人）</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其中：易地搬迁人口用工（人）</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劳务报酬（万元）</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其中：易地搬迁人口劳务报酬（万元）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1</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桥梁建设</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24"/>
                <w:szCs w:val="24"/>
                <w:lang w:val="en-US"/>
              </w:rPr>
            </w:pPr>
            <w:r>
              <w:rPr>
                <w:rFonts w:hint="eastAsia" w:ascii="仿宋" w:hAnsi="仿宋" w:eastAsia="仿宋" w:cs="仿宋"/>
                <w:spacing w:val="6"/>
                <w:sz w:val="24"/>
                <w:szCs w:val="24"/>
              </w:rPr>
              <w:t>6</w:t>
            </w:r>
            <w:r>
              <w:rPr>
                <w:rFonts w:hint="eastAsia" w:ascii="仿宋" w:hAnsi="仿宋" w:eastAsia="仿宋" w:cs="仿宋"/>
                <w:spacing w:val="6"/>
                <w:sz w:val="24"/>
                <w:szCs w:val="24"/>
                <w:lang w:val="en-US" w:eastAsia="zh-CN"/>
              </w:rPr>
              <w:t>666</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70</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14</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100</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1.1</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土方开挖及回填</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1000</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10</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2</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lang w:eastAsia="zh-CN"/>
              </w:rPr>
            </w:pPr>
            <w:r>
              <w:rPr>
                <w:rFonts w:hint="eastAsia" w:ascii="仿宋" w:hAnsi="仿宋" w:eastAsia="仿宋" w:cs="仿宋"/>
                <w:spacing w:val="6"/>
                <w:sz w:val="24"/>
                <w:szCs w:val="24"/>
              </w:rPr>
              <w:t>1</w:t>
            </w:r>
            <w:r>
              <w:rPr>
                <w:rFonts w:hint="eastAsia" w:ascii="仿宋" w:hAnsi="仿宋" w:eastAsia="仿宋" w:cs="仿宋"/>
                <w:spacing w:val="6"/>
                <w:sz w:val="24"/>
                <w:szCs w:val="24"/>
                <w:lang w:val="en-US" w:eastAsia="zh-CN"/>
              </w:rPr>
              <w:t>5</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1.2</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预制梁板</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24"/>
                <w:szCs w:val="24"/>
                <w:lang w:val="en-US" w:eastAsia="zh-CN"/>
              </w:rPr>
            </w:pPr>
            <w:r>
              <w:rPr>
                <w:rFonts w:hint="eastAsia" w:ascii="仿宋" w:hAnsi="仿宋" w:eastAsia="仿宋" w:cs="仿宋"/>
                <w:spacing w:val="6"/>
                <w:sz w:val="24"/>
                <w:szCs w:val="24"/>
              </w:rPr>
              <w:t>2</w:t>
            </w:r>
            <w:r>
              <w:rPr>
                <w:rFonts w:hint="eastAsia" w:ascii="仿宋" w:hAnsi="仿宋" w:eastAsia="仿宋" w:cs="仿宋"/>
                <w:spacing w:val="6"/>
                <w:sz w:val="24"/>
                <w:szCs w:val="24"/>
                <w:lang w:val="en-US" w:eastAsia="zh-CN"/>
              </w:rPr>
              <w:t>133</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22</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5</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32</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24"/>
                <w:szCs w:val="24"/>
                <w:lang w:val="en-US" w:eastAsia="zh-CN"/>
              </w:rPr>
            </w:pPr>
            <w:r>
              <w:rPr>
                <w:rFonts w:hint="eastAsia" w:ascii="仿宋" w:hAnsi="仿宋" w:eastAsia="仿宋" w:cs="仿宋"/>
                <w:spacing w:val="6"/>
                <w:sz w:val="24"/>
                <w:szCs w:val="24"/>
              </w:rPr>
              <w:t>6</w:t>
            </w:r>
            <w:r>
              <w:rPr>
                <w:rFonts w:hint="eastAsia" w:ascii="仿宋" w:hAnsi="仿宋" w:eastAsia="仿宋" w:cs="仿宋"/>
                <w:spacing w:val="6"/>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1.3</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下部结构</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24"/>
                <w:szCs w:val="24"/>
                <w:lang w:val="en-US" w:eastAsia="zh-CN"/>
              </w:rPr>
            </w:pPr>
            <w:r>
              <w:rPr>
                <w:rFonts w:hint="eastAsia" w:ascii="仿宋" w:hAnsi="仿宋" w:eastAsia="仿宋" w:cs="仿宋"/>
                <w:spacing w:val="6"/>
                <w:sz w:val="24"/>
                <w:szCs w:val="24"/>
              </w:rPr>
              <w:t>2</w:t>
            </w:r>
            <w:r>
              <w:rPr>
                <w:rFonts w:hint="eastAsia" w:ascii="仿宋" w:hAnsi="仿宋" w:eastAsia="仿宋" w:cs="仿宋"/>
                <w:spacing w:val="6"/>
                <w:sz w:val="24"/>
                <w:szCs w:val="24"/>
                <w:lang w:val="en-US" w:eastAsia="zh-CN"/>
              </w:rPr>
              <w:t>133</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22</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5</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32</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24"/>
                <w:szCs w:val="24"/>
                <w:lang w:val="en-US" w:eastAsia="zh-CN"/>
              </w:rPr>
            </w:pPr>
            <w:r>
              <w:rPr>
                <w:rFonts w:hint="eastAsia" w:ascii="仿宋" w:hAnsi="仿宋" w:eastAsia="仿宋" w:cs="仿宋"/>
                <w:spacing w:val="6"/>
                <w:sz w:val="24"/>
                <w:szCs w:val="24"/>
              </w:rPr>
              <w:t>6</w:t>
            </w:r>
            <w:r>
              <w:rPr>
                <w:rFonts w:hint="eastAsia" w:ascii="仿宋" w:hAnsi="仿宋" w:eastAsia="仿宋" w:cs="仿宋"/>
                <w:spacing w:val="6"/>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1.4</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附属设施</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1400</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16</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3</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21</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24"/>
                <w:szCs w:val="24"/>
                <w:lang w:val="en-US" w:eastAsia="zh-CN"/>
              </w:rPr>
            </w:pPr>
            <w:r>
              <w:rPr>
                <w:rFonts w:hint="eastAsia" w:ascii="仿宋" w:hAnsi="仿宋" w:eastAsia="仿宋" w:cs="仿宋"/>
                <w:spacing w:val="6"/>
                <w:sz w:val="24"/>
                <w:szCs w:val="24"/>
              </w:rPr>
              <w:t>4</w:t>
            </w:r>
            <w:r>
              <w:rPr>
                <w:rFonts w:hint="eastAsia" w:ascii="仿宋" w:hAnsi="仿宋" w:eastAsia="仿宋" w:cs="仿宋"/>
                <w:spacing w:val="6"/>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合计</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6666</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70</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14</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100</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20</w:t>
            </w:r>
          </w:p>
        </w:tc>
      </w:tr>
    </w:tbl>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b/>
          <w:bCs/>
          <w:spacing w:val="6"/>
          <w:sz w:val="32"/>
          <w:szCs w:val="32"/>
        </w:rPr>
      </w:pPr>
    </w:p>
    <w:p>
      <w:pPr>
        <w:pStyle w:val="24"/>
        <w:keepNext w:val="0"/>
        <w:keepLines w:val="0"/>
        <w:pageBreakBefore w:val="0"/>
        <w:widowControl w:val="0"/>
        <w:kinsoku/>
        <w:wordWrap/>
        <w:overflowPunct/>
        <w:topLinePunct w:val="0"/>
        <w:autoSpaceDE/>
        <w:autoSpaceDN/>
        <w:bidi w:val="0"/>
        <w:adjustRightInd/>
        <w:snapToGrid w:val="0"/>
        <w:spacing w:line="570" w:lineRule="exact"/>
        <w:ind w:firstLine="1666" w:firstLineChars="500"/>
        <w:textAlignment w:val="baseline"/>
        <w:outlineLvl w:val="9"/>
        <w:rPr>
          <w:rFonts w:hint="eastAsia" w:ascii="仿宋" w:hAnsi="仿宋" w:eastAsia="仿宋" w:cs="仿宋"/>
          <w:b/>
          <w:bCs/>
          <w:spacing w:val="6"/>
          <w:sz w:val="32"/>
          <w:szCs w:val="32"/>
        </w:rPr>
      </w:pPr>
    </w:p>
    <w:p>
      <w:pPr>
        <w:pStyle w:val="24"/>
        <w:keepNext w:val="0"/>
        <w:keepLines w:val="0"/>
        <w:pageBreakBefore w:val="0"/>
        <w:widowControl w:val="0"/>
        <w:kinsoku/>
        <w:wordWrap/>
        <w:overflowPunct/>
        <w:topLinePunct w:val="0"/>
        <w:autoSpaceDE/>
        <w:autoSpaceDN/>
        <w:bidi w:val="0"/>
        <w:adjustRightInd/>
        <w:snapToGrid w:val="0"/>
        <w:spacing w:line="570" w:lineRule="exact"/>
        <w:ind w:firstLine="1666" w:firstLineChars="500"/>
        <w:textAlignment w:val="baseline"/>
        <w:outlineLvl w:val="9"/>
        <w:rPr>
          <w:rFonts w:hint="eastAsia" w:ascii="仿宋" w:hAnsi="仿宋" w:eastAsia="仿宋" w:cs="仿宋"/>
          <w:b/>
          <w:bCs/>
          <w:spacing w:val="6"/>
          <w:sz w:val="32"/>
          <w:szCs w:val="32"/>
        </w:rPr>
      </w:pPr>
      <w:r>
        <w:rPr>
          <w:rFonts w:hint="eastAsia" w:ascii="仿宋" w:hAnsi="仿宋" w:eastAsia="仿宋" w:cs="仿宋"/>
          <w:b/>
          <w:bCs/>
          <w:spacing w:val="6"/>
          <w:sz w:val="32"/>
          <w:szCs w:val="32"/>
        </w:rPr>
        <w:t>表二：工程项目实施农村劳动力劳务总额表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83"/>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序号</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工种</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24"/>
                <w:szCs w:val="24"/>
              </w:rPr>
              <w:t>发放标准（元/日）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计划用工人数</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2"/>
              </w:rPr>
              <w:t>计划工时（工日）</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发放金额（万元）</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40"/>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水泥工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150</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9</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800</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12</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2</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钢筋工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150</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11</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1000</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15</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3</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机械工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150</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9</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800</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12</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4</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木工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150</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16</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1500</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22</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5</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24"/>
                <w:szCs w:val="24"/>
              </w:rPr>
              <w:t>安全劝导员</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150</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5</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500</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8</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6</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养护工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150</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11</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1000</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15</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7</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杂工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150</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9</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800</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12</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gridSpan w:val="3"/>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合计</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70</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default" w:ascii="仿宋" w:hAnsi="仿宋" w:eastAsia="仿宋" w:cs="仿宋"/>
                <w:spacing w:val="6"/>
                <w:sz w:val="32"/>
                <w:szCs w:val="32"/>
                <w:lang w:val="en-US" w:eastAsia="zh-CN"/>
              </w:rPr>
            </w:pPr>
            <w:r>
              <w:rPr>
                <w:rFonts w:hint="eastAsia" w:ascii="仿宋" w:hAnsi="仿宋" w:eastAsia="仿宋" w:cs="仿宋"/>
                <w:spacing w:val="6"/>
                <w:sz w:val="32"/>
                <w:szCs w:val="32"/>
              </w:rPr>
              <w:t>6</w:t>
            </w:r>
            <w:r>
              <w:rPr>
                <w:rFonts w:hint="eastAsia" w:ascii="仿宋" w:hAnsi="仿宋" w:eastAsia="仿宋" w:cs="仿宋"/>
                <w:spacing w:val="6"/>
                <w:sz w:val="32"/>
                <w:szCs w:val="32"/>
                <w:lang w:val="en-US" w:eastAsia="zh-CN"/>
              </w:rPr>
              <w:t>666</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96</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bl>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在建设期开展以工代赈等技能培训，对参与示范项目建设的务工人员以及易地搬迁群众提供就业岗位培训备注，主要培训方式采用在工程施工过程中进行现场操作培训，培训内容包括</w:t>
      </w:r>
      <w:r>
        <w:rPr>
          <w:rFonts w:hint="eastAsia" w:ascii="仿宋" w:hAnsi="仿宋" w:eastAsia="仿宋" w:cs="仿宋"/>
          <w:spacing w:val="6"/>
          <w:sz w:val="32"/>
          <w:szCs w:val="32"/>
          <w:lang w:eastAsia="zh-CN"/>
        </w:rPr>
        <w:t>普通话及桥梁</w:t>
      </w:r>
      <w:r>
        <w:rPr>
          <w:rFonts w:hint="eastAsia" w:ascii="仿宋" w:hAnsi="仿宋" w:eastAsia="仿宋" w:cs="仿宋"/>
          <w:spacing w:val="6"/>
          <w:sz w:val="32"/>
          <w:szCs w:val="32"/>
        </w:rPr>
        <w:t>施工技术，力争培训一人，就业一人。项目计划培训70人（其中低收入人群56人，其中：易地搬迁人口14人）</w:t>
      </w:r>
      <w:r>
        <w:rPr>
          <w:rFonts w:hint="eastAsia" w:ascii="仿宋" w:hAnsi="仿宋" w:eastAsia="仿宋" w:cs="仿宋"/>
          <w:spacing w:val="6"/>
          <w:sz w:val="32"/>
          <w:szCs w:val="32"/>
          <w:lang w:eastAsia="zh-CN"/>
        </w:rPr>
        <w:t>。</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35" w:name="_Toc24700"/>
      <w:r>
        <w:rPr>
          <w:rFonts w:hint="eastAsia" w:ascii="仿宋" w:hAnsi="仿宋" w:eastAsia="仿宋" w:cs="仿宋"/>
          <w:b/>
          <w:bCs/>
          <w:spacing w:val="6"/>
          <w:sz w:val="32"/>
          <w:szCs w:val="32"/>
        </w:rPr>
        <w:t>5.7公益性岗位设置，获得稳定收入</w:t>
      </w:r>
      <w:bookmarkEnd w:id="3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结合以工代赈项目和当地乡村振兴战略实施，帮助难以通过市场就业的脱贫群众和其他农村低收入人口，特别是易地扶贫搬迁脱贫人口实现就近就业，获得稳定收入，通过合理开发相关公益岗位，使用县级配套资金拟设置</w:t>
      </w:r>
      <w:r>
        <w:rPr>
          <w:rFonts w:hint="eastAsia" w:ascii="仿宋" w:hAnsi="仿宋" w:eastAsia="仿宋" w:cs="仿宋"/>
          <w:spacing w:val="6"/>
          <w:sz w:val="32"/>
          <w:szCs w:val="32"/>
          <w:lang w:eastAsia="zh-CN"/>
        </w:rPr>
        <w:t>桥梁</w:t>
      </w:r>
      <w:r>
        <w:rPr>
          <w:rFonts w:hint="eastAsia" w:ascii="仿宋" w:hAnsi="仿宋" w:eastAsia="仿宋" w:cs="仿宋"/>
          <w:spacing w:val="6"/>
          <w:sz w:val="32"/>
          <w:szCs w:val="32"/>
        </w:rPr>
        <w:t>养护管理员公益性岗位1个，（易地扶贫搬迁人口1人），共获得稳定收入</w:t>
      </w:r>
      <w:r>
        <w:rPr>
          <w:rFonts w:hint="eastAsia" w:ascii="仿宋" w:hAnsi="仿宋" w:eastAsia="仿宋" w:cs="仿宋"/>
          <w:spacing w:val="6"/>
          <w:sz w:val="32"/>
          <w:szCs w:val="32"/>
          <w:lang w:val="en-US" w:eastAsia="zh-CN"/>
        </w:rPr>
        <w:t>1.2</w:t>
      </w:r>
      <w:r>
        <w:rPr>
          <w:rFonts w:hint="eastAsia" w:ascii="仿宋" w:hAnsi="仿宋" w:eastAsia="仿宋" w:cs="仿宋"/>
          <w:spacing w:val="6"/>
          <w:sz w:val="32"/>
          <w:szCs w:val="32"/>
        </w:rPr>
        <w:t>万元/年。</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p>
    <w:p>
      <w:pPr>
        <w:pStyle w:val="24"/>
        <w:pageBreakBefore w:val="0"/>
        <w:kinsoku/>
        <w:wordWrap/>
        <w:overflowPunct/>
        <w:topLinePunct w:val="0"/>
        <w:bidi w:val="0"/>
        <w:snapToGrid w:val="0"/>
        <w:spacing w:line="570" w:lineRule="exact"/>
        <w:ind w:firstLine="0" w:firstLineChars="0"/>
        <w:textAlignment w:val="baseline"/>
        <w:outlineLvl w:val="0"/>
        <w:rPr>
          <w:rFonts w:hint="eastAsia" w:ascii="仿宋" w:hAnsi="仿宋" w:eastAsia="仿宋" w:cs="仿宋"/>
          <w:b/>
          <w:bCs/>
          <w:spacing w:val="6"/>
          <w:sz w:val="36"/>
          <w:szCs w:val="36"/>
        </w:rPr>
      </w:pPr>
      <w:bookmarkStart w:id="36" w:name="_Toc10709"/>
      <w:r>
        <w:rPr>
          <w:rFonts w:hint="eastAsia" w:ascii="仿宋" w:hAnsi="仿宋" w:eastAsia="仿宋" w:cs="仿宋"/>
          <w:b/>
          <w:bCs/>
          <w:spacing w:val="6"/>
          <w:sz w:val="36"/>
          <w:szCs w:val="36"/>
        </w:rPr>
        <w:t>6.项目实施进度</w:t>
      </w:r>
      <w:bookmarkEnd w:id="36"/>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37" w:name="_Toc32458"/>
      <w:r>
        <w:rPr>
          <w:rFonts w:hint="eastAsia" w:ascii="仿宋" w:hAnsi="仿宋" w:eastAsia="仿宋" w:cs="仿宋"/>
          <w:b/>
          <w:bCs/>
          <w:spacing w:val="6"/>
          <w:sz w:val="32"/>
          <w:szCs w:val="32"/>
        </w:rPr>
        <w:t>6.1项目实施进度计划</w:t>
      </w:r>
      <w:bookmarkEnd w:id="3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根据路网现状、交通量预测、经济评价结果，推荐方案工</w:t>
      </w:r>
      <w:r>
        <w:rPr>
          <w:rFonts w:hint="eastAsia" w:ascii="仿宋" w:hAnsi="仿宋" w:eastAsia="仿宋" w:cs="仿宋"/>
          <w:spacing w:val="6"/>
          <w:sz w:val="32"/>
          <w:szCs w:val="32"/>
          <w:highlight w:val="none"/>
        </w:rPr>
        <w:t>程内容、建设规模、技术标准等，以及项目区域内地形、地质、水文条件和具体的场地建设条件，本项目的工程施工工期安排为</w:t>
      </w:r>
      <w:r>
        <w:rPr>
          <w:rFonts w:hint="eastAsia" w:ascii="仿宋" w:hAnsi="仿宋" w:eastAsia="仿宋" w:cs="仿宋"/>
          <w:spacing w:val="6"/>
          <w:sz w:val="32"/>
          <w:szCs w:val="32"/>
          <w:highlight w:val="none"/>
          <w:lang w:val="en-US" w:eastAsia="zh-CN"/>
        </w:rPr>
        <w:t>3</w:t>
      </w:r>
      <w:r>
        <w:rPr>
          <w:rFonts w:hint="eastAsia" w:ascii="仿宋" w:hAnsi="仿宋" w:eastAsia="仿宋" w:cs="仿宋"/>
          <w:spacing w:val="6"/>
          <w:sz w:val="32"/>
          <w:szCs w:val="32"/>
          <w:highlight w:val="none"/>
        </w:rPr>
        <w:t>个</w:t>
      </w:r>
      <w:r>
        <w:rPr>
          <w:rFonts w:hint="eastAsia" w:ascii="仿宋" w:hAnsi="仿宋" w:eastAsia="仿宋" w:cs="仿宋"/>
          <w:spacing w:val="6"/>
          <w:sz w:val="32"/>
          <w:szCs w:val="32"/>
          <w:highlight w:val="none"/>
          <w:lang w:eastAsia="zh-CN"/>
        </w:rPr>
        <w:t>半</w:t>
      </w:r>
      <w:r>
        <w:rPr>
          <w:rFonts w:hint="eastAsia" w:ascii="仿宋" w:hAnsi="仿宋" w:eastAsia="仿宋" w:cs="仿宋"/>
          <w:spacing w:val="6"/>
          <w:sz w:val="32"/>
          <w:szCs w:val="32"/>
          <w:highlight w:val="none"/>
        </w:rPr>
        <w:t>月，</w:t>
      </w:r>
      <w:r>
        <w:rPr>
          <w:rFonts w:hint="eastAsia" w:ascii="仿宋" w:hAnsi="仿宋" w:eastAsia="仿宋" w:cs="仿宋"/>
          <w:spacing w:val="6"/>
          <w:sz w:val="32"/>
          <w:szCs w:val="32"/>
          <w:highlight w:val="none"/>
          <w:lang w:eastAsia="zh-CN"/>
        </w:rPr>
        <w:t>施工时间在</w:t>
      </w:r>
      <w:r>
        <w:rPr>
          <w:rFonts w:hint="eastAsia" w:ascii="仿宋" w:hAnsi="仿宋" w:eastAsia="仿宋" w:cs="仿宋"/>
          <w:spacing w:val="6"/>
          <w:sz w:val="32"/>
          <w:szCs w:val="32"/>
          <w:highlight w:val="none"/>
          <w:lang w:val="en-US" w:eastAsia="zh-CN"/>
        </w:rPr>
        <w:t>2023年8月初-11月中旬</w:t>
      </w:r>
      <w:r>
        <w:rPr>
          <w:rFonts w:hint="eastAsia" w:ascii="仿宋" w:hAnsi="仿宋" w:eastAsia="仿宋" w:cs="仿宋"/>
          <w:spacing w:val="6"/>
          <w:sz w:val="32"/>
          <w:szCs w:val="32"/>
          <w:highlight w:val="none"/>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前期工作</w:t>
      </w:r>
      <w:r>
        <w:rPr>
          <w:rFonts w:hint="eastAsia" w:ascii="仿宋" w:hAnsi="仿宋" w:eastAsia="仿宋" w:cs="仿宋"/>
          <w:spacing w:val="6"/>
          <w:sz w:val="32"/>
          <w:szCs w:val="32"/>
          <w:lang w:eastAsia="zh-CN"/>
        </w:rPr>
        <w:t>完成情况</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目前项目前期手续已全部完成，待资金到位后即可实施。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6.2招标方案</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建设过程中，要认真贯彻公路建设四项制度，即“项目法人责任制、招标投标制、工程监理和合同管理制”。项目实施前，应通过招、投标，选择资质等级高、信誉好、施工技术力量强的施工单位承担施工任务，工程实施中，监理单位应对每道工序认真检测，做好质量、工期、投资三大控制。项目法人对工程负责，处理好施工单位与监理单位的关系，以保证工程顺利实施。</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该项目的施工、监理等活动全部进行招标。</w:t>
      </w:r>
    </w:p>
    <w:p>
      <w:pPr>
        <w:pageBreakBefore w:val="0"/>
        <w:kinsoku/>
        <w:wordWrap/>
        <w:overflowPunct/>
        <w:topLinePunct w:val="0"/>
        <w:bidi w:val="0"/>
        <w:spacing w:line="570" w:lineRule="exact"/>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该建设项目的招标组织形式拟采用委托招标，即由建设单位委托第三方组织招标活动。该建设项目的设计、施工、监理等活动拟采用委托招标方式。</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拟建公路招标基本情况见表：</w:t>
      </w:r>
    </w:p>
    <w:p>
      <w:pPr>
        <w:pageBreakBefore w:val="0"/>
        <w:kinsoku/>
        <w:wordWrap/>
        <w:overflowPunct/>
        <w:topLinePunct w:val="0"/>
        <w:bidi w:val="0"/>
        <w:spacing w:line="570" w:lineRule="exact"/>
        <w:jc w:val="center"/>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招　标　基　本　情　况　表</w:t>
      </w:r>
    </w:p>
    <w:tbl>
      <w:tblPr>
        <w:tblStyle w:val="13"/>
        <w:tblW w:w="0" w:type="auto"/>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1093"/>
        <w:gridCol w:w="1403"/>
        <w:gridCol w:w="1008"/>
        <w:gridCol w:w="1348"/>
        <w:gridCol w:w="1348"/>
        <w:gridCol w:w="134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1668" w:type="dxa"/>
            <w:vMerge w:val="restart"/>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名称项目</w:t>
            </w:r>
          </w:p>
        </w:tc>
        <w:tc>
          <w:tcPr>
            <w:tcW w:w="249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招标范围</w:t>
            </w:r>
          </w:p>
        </w:tc>
        <w:tc>
          <w:tcPr>
            <w:tcW w:w="235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招标组织形式</w:t>
            </w:r>
          </w:p>
        </w:tc>
        <w:tc>
          <w:tcPr>
            <w:tcW w:w="269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招标方式</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668" w:type="dxa"/>
            <w:vMerge w:val="continue"/>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全部</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部分</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自行</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委托</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公开</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邀请</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建筑安装工程</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监理</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设备</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设计</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r>
    </w:tbl>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38" w:name="_Toc23197"/>
      <w:r>
        <w:rPr>
          <w:rFonts w:hint="eastAsia" w:ascii="仿宋" w:hAnsi="仿宋" w:eastAsia="仿宋" w:cs="仿宋"/>
          <w:b/>
          <w:bCs/>
          <w:spacing w:val="6"/>
          <w:sz w:val="32"/>
          <w:szCs w:val="32"/>
        </w:rPr>
        <w:t>6.3项目公告公示</w:t>
      </w:r>
      <w:bookmarkEnd w:id="3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项目实施按事前、事中、事后方式公示公告。</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6"/>
          <w:szCs w:val="36"/>
        </w:rPr>
      </w:pPr>
      <w:bookmarkStart w:id="39" w:name="_Toc11777"/>
      <w:r>
        <w:rPr>
          <w:rFonts w:hint="eastAsia" w:ascii="仿宋" w:hAnsi="仿宋" w:eastAsia="仿宋" w:cs="仿宋"/>
          <w:b/>
          <w:bCs/>
          <w:spacing w:val="6"/>
          <w:sz w:val="36"/>
          <w:szCs w:val="36"/>
        </w:rPr>
        <w:t>7.项目绩效目标及效益分析</w:t>
      </w:r>
      <w:bookmarkEnd w:id="39"/>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40" w:name="_Toc23150"/>
      <w:r>
        <w:rPr>
          <w:rFonts w:hint="eastAsia" w:ascii="仿宋" w:hAnsi="仿宋" w:eastAsia="仿宋" w:cs="仿宋"/>
          <w:b/>
          <w:bCs/>
          <w:spacing w:val="6"/>
          <w:sz w:val="32"/>
          <w:szCs w:val="32"/>
        </w:rPr>
        <w:t>7.1年度目标</w:t>
      </w:r>
      <w:bookmarkEnd w:id="40"/>
    </w:p>
    <w:p>
      <w:pPr>
        <w:pStyle w:val="24"/>
        <w:pageBreakBefore w:val="0"/>
        <w:kinsoku/>
        <w:wordWrap/>
        <w:overflowPunct/>
        <w:topLinePunct w:val="0"/>
        <w:bidi w:val="0"/>
        <w:snapToGrid w:val="0"/>
        <w:spacing w:line="570" w:lineRule="exact"/>
        <w:ind w:firstLine="0" w:firstLineChars="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7.1.1项目覆盖情况</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本工程主要覆盖麦盖提县，项目优先本地低收入群体特别是易地扶贫搬迁群众中组织参与该工程建设。</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劳务报酬发放标准和总额：应发放劳务报酬总额占中央资金比例不得低于30%，尽可能提高劳务报酬发放比例。</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拟用工的工种和当地务工人员：预计带动务工群众70人，其中：当地群众70人（脱贫不稳定户、边缘易致贫户、其他农村低收入群体56人，易地搬迁群众14人）。尽量吸纳当地群众加入劳动当中。施工明确要求能用人工的尽量不用机械、能用当地群众的尽量不用专业队伍。</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41" w:name="_Toc4043"/>
      <w:r>
        <w:rPr>
          <w:rFonts w:hint="eastAsia" w:ascii="仿宋" w:hAnsi="仿宋" w:eastAsia="仿宋" w:cs="仿宋"/>
          <w:b/>
          <w:bCs/>
          <w:spacing w:val="6"/>
          <w:sz w:val="32"/>
          <w:szCs w:val="32"/>
        </w:rPr>
        <w:t>7.2经济效益</w:t>
      </w:r>
      <w:bookmarkEnd w:id="41"/>
    </w:p>
    <w:p>
      <w:pPr>
        <w:pStyle w:val="24"/>
        <w:pageBreakBefore w:val="0"/>
        <w:kinsoku/>
        <w:wordWrap/>
        <w:overflowPunct/>
        <w:topLinePunct w:val="0"/>
        <w:bidi w:val="0"/>
        <w:snapToGrid w:val="0"/>
        <w:spacing w:line="570" w:lineRule="exact"/>
        <w:ind w:firstLine="0" w:firstLineChars="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7.2.2直接效益</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本项目改建危桥一座</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桥长54米，项目建成后，可保障区域群众需用生产资料和农副产品的及时调运以免耽误农时影响生产。对期熟农产品、果品外运外销起到保时保质运输，避免不必要的经济损失。</w:t>
      </w:r>
      <w:r>
        <w:rPr>
          <w:rFonts w:hint="eastAsia" w:ascii="仿宋" w:hAnsi="仿宋" w:eastAsia="仿宋" w:cs="仿宋"/>
          <w:spacing w:val="6"/>
          <w:sz w:val="32"/>
          <w:szCs w:val="32"/>
          <w:lang w:eastAsia="zh-CN"/>
        </w:rPr>
        <w:t>桥修好，道路</w:t>
      </w:r>
      <w:r>
        <w:rPr>
          <w:rFonts w:hint="eastAsia" w:ascii="仿宋" w:hAnsi="仿宋" w:eastAsia="仿宋" w:cs="仿宋"/>
          <w:spacing w:val="6"/>
          <w:sz w:val="32"/>
          <w:szCs w:val="32"/>
        </w:rPr>
        <w:t>通达后可减轻群众劳动强度，处理供需矛盾，解决行路运输难等问题，为今后群众生产致富将提供更大帮助。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切实改变项目区群众出行难，明显改善项目区的交通运输状况。</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spacing w:val="6"/>
          <w:sz w:val="32"/>
          <w:szCs w:val="32"/>
        </w:rPr>
        <w:t>本工程总投资320万元，发放劳务报酬</w:t>
      </w:r>
      <w:r>
        <w:rPr>
          <w:rFonts w:hint="eastAsia" w:ascii="仿宋" w:hAnsi="仿宋" w:eastAsia="仿宋" w:cs="仿宋"/>
          <w:spacing w:val="6"/>
          <w:sz w:val="32"/>
          <w:szCs w:val="32"/>
          <w:lang w:val="en-US" w:eastAsia="zh-CN"/>
        </w:rPr>
        <w:t>100</w:t>
      </w:r>
      <w:r>
        <w:rPr>
          <w:rFonts w:hint="eastAsia" w:ascii="仿宋" w:hAnsi="仿宋" w:eastAsia="仿宋" w:cs="仿宋"/>
          <w:spacing w:val="6"/>
          <w:sz w:val="32"/>
          <w:szCs w:val="32"/>
        </w:rPr>
        <w:t>万元。</w:t>
      </w:r>
    </w:p>
    <w:p>
      <w:pPr>
        <w:pStyle w:val="24"/>
        <w:pageBreakBefore w:val="0"/>
        <w:kinsoku/>
        <w:wordWrap/>
        <w:overflowPunct/>
        <w:topLinePunct w:val="0"/>
        <w:bidi w:val="0"/>
        <w:snapToGrid w:val="0"/>
        <w:spacing w:line="570" w:lineRule="exact"/>
        <w:ind w:firstLine="0" w:firstLineChars="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7.2.3间接效益</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1、项目对社会经济发展的影响</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作为交通基础设施，它对区域国民经济的促进作用首先表现在项目投资建设活动多增加国民经济产值，拉动经济的增长上。据有关单位研究测算，基础设施投资增加1%，GDP就会增长1%，如果按投资乘数的理论来计算，其对国民经济发展的拉动作用会更大。投资建设期，本项目的实施除了需要大量的劳动力之外，还要消费大量的砂石、木材、水泥、钢材、沥青等多种建筑材料。建筑本身促进了相关产业的发展，从而带动区域国民经济的发展。</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之后对国民经济的促进作用将是长期的，缓慢的，难以定量测算。其影响主要表现在：项目的实施完善了城市道路网格局，优化了路网结构，提高整个路网的通行能力，改善了区域间的交通便利性。交通区位的改善确定了区域经济增长潜力的变化，经济增长潜力最终诱使经济增长。</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2、项目对带动相关产业发展、扩大就业的影响</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以第一产业为主，第三产业占较大比重，随着喀什地区进行了产业结构调整，</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的未来发展方向属于服务型产业带动经济，为拉动GDP的主力，总的来看，区域内产业结构比较合理，对公路运输的需求较大。</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由于存在大量富余劳动力，就业问题是我国宏观管理关注要点。因此，在社会评价中分析大型建设项目的就业影响具有重要意义，特别是进一步完善</w:t>
      </w:r>
      <w:r>
        <w:rPr>
          <w:rFonts w:hint="eastAsia" w:ascii="仿宋" w:hAnsi="仿宋" w:eastAsia="仿宋" w:cs="仿宋"/>
          <w:spacing w:val="6"/>
          <w:sz w:val="32"/>
          <w:szCs w:val="32"/>
          <w:lang w:eastAsia="zh-CN"/>
        </w:rPr>
        <w:t>我县昂格特勒克乡</w:t>
      </w:r>
      <w:r>
        <w:rPr>
          <w:rFonts w:hint="eastAsia" w:ascii="仿宋" w:hAnsi="仿宋" w:eastAsia="仿宋" w:cs="仿宋"/>
          <w:spacing w:val="6"/>
          <w:sz w:val="32"/>
          <w:szCs w:val="32"/>
        </w:rPr>
        <w:t>易地搬迁后续扶持</w:t>
      </w:r>
      <w:r>
        <w:rPr>
          <w:rFonts w:hint="eastAsia" w:ascii="仿宋" w:hAnsi="仿宋" w:eastAsia="仿宋" w:cs="仿宋"/>
          <w:spacing w:val="6"/>
          <w:sz w:val="32"/>
          <w:szCs w:val="32"/>
          <w:lang w:eastAsia="zh-CN"/>
        </w:rPr>
        <w:t>各个</w:t>
      </w:r>
      <w:r>
        <w:rPr>
          <w:rFonts w:hint="eastAsia" w:ascii="仿宋" w:hAnsi="仿宋" w:eastAsia="仿宋" w:cs="仿宋"/>
          <w:spacing w:val="6"/>
          <w:sz w:val="32"/>
          <w:szCs w:val="32"/>
        </w:rPr>
        <w:t>项目的交通基础设施，提升当地群众的出行条件，同时促进乡村区域内旅游产业发展，增加旅游业相关从业人员的人才培养。</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42" w:name="_Toc29813"/>
      <w:r>
        <w:rPr>
          <w:rFonts w:hint="eastAsia" w:ascii="仿宋" w:hAnsi="仿宋" w:eastAsia="仿宋" w:cs="仿宋"/>
          <w:b/>
          <w:bCs/>
          <w:spacing w:val="6"/>
          <w:sz w:val="32"/>
          <w:szCs w:val="32"/>
        </w:rPr>
        <w:t>7.3社会效益</w:t>
      </w:r>
      <w:bookmarkEnd w:id="4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所处区域的学校及医疗机构数量较少，适龄儿童的入学率较低。项目的建设运营可扩大当地文化教育和医疗卫生覆盖范围，改善交通不便地区人民群众生活质量，为方便其就医、子女入学提供必要的交通基础设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的实施有助于民族地区经济的发展，加强少数民族地区的对外交流，加强各民族之间的文化交流与沟通，增强理解、增进友谊，促进民族团结和融合，有力推进和谐社会的建设。有利于国家民族大团结、大发展、共同繁荣、国家长治久安国策的实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维吾尔自治区地处我国西北边陲，与多个国家为邻，国境线长达5400多千米，战略地位相当突出。特殊的地理位置使得新疆成为我国军民共建的地区之一。新疆生产建设兵团拥有十四个师。建设兵团在保护祖国领土完整、促进地方经济和维护地区稳定方面做出了积极的贡献。本项目位于喀什地区，西部与塔吉克斯坦相连，西南与阿富汗、巴基斯坦接壤，周边邻近国家还有吉尔吉斯斯坦、乌兹别克斯坦、印度3个国家。本项目的实施将进一步完善区域路网结构，改善交通出行条件，有助于部队建设和国防工作的开展，对巩固国防、促进政治稳定、维护国家统一有着十分重要的意义。</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spacing w:val="6"/>
          <w:sz w:val="32"/>
          <w:szCs w:val="32"/>
        </w:rPr>
        <w:t>公路建设所牵涉的弱势群体包括：征地拆迁移民户、</w:t>
      </w:r>
      <w:r>
        <w:rPr>
          <w:rFonts w:hint="eastAsia" w:ascii="仿宋" w:hAnsi="仿宋" w:eastAsia="仿宋" w:cs="仿宋"/>
          <w:spacing w:val="6"/>
          <w:sz w:val="32"/>
          <w:szCs w:val="32"/>
          <w:lang w:eastAsia="zh-CN"/>
        </w:rPr>
        <w:t>低收入</w:t>
      </w:r>
      <w:r>
        <w:rPr>
          <w:rFonts w:hint="eastAsia" w:ascii="仿宋" w:hAnsi="仿宋" w:eastAsia="仿宋" w:cs="仿宋"/>
          <w:spacing w:val="6"/>
          <w:sz w:val="32"/>
          <w:szCs w:val="32"/>
        </w:rPr>
        <w:t>户、妇女为户主的家庭、老人家庭、残疾人家庭、少数民族家庭。拟建项目相关弱势者主要为拆迁移民、</w:t>
      </w:r>
      <w:r>
        <w:rPr>
          <w:rFonts w:hint="eastAsia" w:ascii="仿宋" w:hAnsi="仿宋" w:eastAsia="仿宋" w:cs="仿宋"/>
          <w:spacing w:val="6"/>
          <w:sz w:val="32"/>
          <w:szCs w:val="32"/>
          <w:lang w:eastAsia="zh-CN"/>
        </w:rPr>
        <w:t>低收入</w:t>
      </w:r>
      <w:r>
        <w:rPr>
          <w:rFonts w:hint="eastAsia" w:ascii="仿宋" w:hAnsi="仿宋" w:eastAsia="仿宋" w:cs="仿宋"/>
          <w:spacing w:val="6"/>
          <w:sz w:val="32"/>
          <w:szCs w:val="32"/>
        </w:rPr>
        <w:t>人口、妇女、老人等。拟建项目</w:t>
      </w:r>
      <w:r>
        <w:rPr>
          <w:rFonts w:hint="eastAsia" w:ascii="仿宋" w:hAnsi="仿宋" w:eastAsia="仿宋" w:cs="仿宋"/>
          <w:spacing w:val="6"/>
          <w:sz w:val="32"/>
          <w:szCs w:val="32"/>
          <w:lang w:eastAsia="zh-CN"/>
        </w:rPr>
        <w:t>不涉及</w:t>
      </w:r>
      <w:r>
        <w:rPr>
          <w:rFonts w:hint="eastAsia" w:ascii="仿宋" w:hAnsi="仿宋" w:eastAsia="仿宋" w:cs="仿宋"/>
          <w:spacing w:val="6"/>
          <w:sz w:val="32"/>
          <w:szCs w:val="32"/>
        </w:rPr>
        <w:t>征迁安置，</w:t>
      </w:r>
      <w:r>
        <w:rPr>
          <w:rFonts w:hint="eastAsia" w:ascii="仿宋" w:hAnsi="仿宋" w:eastAsia="仿宋" w:cs="仿宋"/>
          <w:spacing w:val="6"/>
          <w:sz w:val="32"/>
          <w:szCs w:val="32"/>
          <w:lang w:eastAsia="zh-CN"/>
        </w:rPr>
        <w:t>不触及</w:t>
      </w:r>
      <w:r>
        <w:rPr>
          <w:rFonts w:hint="eastAsia" w:ascii="仿宋" w:hAnsi="仿宋" w:eastAsia="仿宋" w:cs="仿宋"/>
          <w:spacing w:val="6"/>
          <w:sz w:val="32"/>
          <w:szCs w:val="32"/>
        </w:rPr>
        <w:t>弱势群体的利益。同时，拟建项目对区域第三产业的促进作用，可为沿线妇女创造数量可观的就业岗位，并为沿线地区</w:t>
      </w:r>
      <w:r>
        <w:rPr>
          <w:rFonts w:hint="eastAsia" w:ascii="仿宋" w:hAnsi="仿宋" w:eastAsia="仿宋" w:cs="仿宋"/>
          <w:spacing w:val="6"/>
          <w:sz w:val="32"/>
          <w:szCs w:val="32"/>
          <w:lang w:eastAsia="zh-CN"/>
        </w:rPr>
        <w:t>乡村振兴</w:t>
      </w:r>
      <w:r>
        <w:rPr>
          <w:rFonts w:hint="eastAsia" w:ascii="仿宋" w:hAnsi="仿宋" w:eastAsia="仿宋" w:cs="仿宋"/>
          <w:spacing w:val="6"/>
          <w:sz w:val="32"/>
          <w:szCs w:val="32"/>
        </w:rPr>
        <w:t>提供助力。</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43" w:name="_Toc23078"/>
      <w:r>
        <w:rPr>
          <w:rFonts w:hint="eastAsia" w:ascii="仿宋" w:hAnsi="仿宋" w:eastAsia="仿宋" w:cs="仿宋"/>
          <w:b/>
          <w:bCs/>
          <w:spacing w:val="6"/>
          <w:sz w:val="32"/>
          <w:szCs w:val="32"/>
        </w:rPr>
        <w:t>7.4可持续性影响</w:t>
      </w:r>
      <w:bookmarkEnd w:id="4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生态环境包括农业生态环境、地表植被环境及工程活动引发的地质病害等几个方面。拟建项目区主要为沙漠戈壁区、绿洲、耕地、牧区，随着公路交通量的增大，汽车尾气中的铅、铬等有害固体微粒会使公路两侧一定范围内土壤中的铅、铬等含量有所增加，但国家环保政策强制性推广使用无铅汽油等措施的实施，土壤中这些有害成份的增加量不会大，且农作物对这些有害成份也不是大量吸收，因而它们对农作物的生长无明显影响。拟建项目实施后沿线的绿化工程会对原有植被的破坏起到一定的补偿作用，而且可以参照现有公路两侧栽植林带的做法，发动沿线群众在公路两侧植树造林，把防护林工程建设与公路绿化结合起来，使得拟建项目的绿化程度大于对植被的破坏程度，从而起到带动沿线自然环境建设的作用。</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拟建项目实施时，由于对不良地质地段实施了相应的整治措施，改善了地质环境状况。</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根据国家实施西部大开发战略及新农村建设要求，建设本项目是符合国家政策和要求的；当地经济、文化目前相对落后，基础设施的完善是提高当地民众生活、文化水平的重要条件。本项目的实施将给当地富余劳动力提供跟多就业增加收入、农业产品、畜产品、肉食加工产品、人员交流带来极大便利，从而为稳定边疆、提高国民整体素质做出巨大贡献，因此建设本项目是一件利国利民的大事。</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44" w:name="_Toc18482"/>
      <w:r>
        <w:rPr>
          <w:rFonts w:hint="eastAsia" w:ascii="仿宋" w:hAnsi="仿宋" w:eastAsia="仿宋" w:cs="仿宋"/>
          <w:b/>
          <w:bCs/>
          <w:spacing w:val="6"/>
          <w:sz w:val="32"/>
          <w:szCs w:val="32"/>
        </w:rPr>
        <w:t>7.5</w:t>
      </w:r>
      <w:r>
        <w:rPr>
          <w:rFonts w:hint="eastAsia" w:ascii="仿宋" w:hAnsi="仿宋" w:eastAsia="仿宋" w:cs="仿宋"/>
          <w:b/>
          <w:bCs/>
          <w:spacing w:val="6"/>
          <w:sz w:val="32"/>
          <w:szCs w:val="32"/>
          <w:lang w:eastAsia="zh-CN"/>
        </w:rPr>
        <w:t>农业</w:t>
      </w:r>
      <w:r>
        <w:rPr>
          <w:rFonts w:hint="eastAsia" w:ascii="仿宋" w:hAnsi="仿宋" w:eastAsia="仿宋" w:cs="仿宋"/>
          <w:b/>
          <w:bCs/>
          <w:spacing w:val="6"/>
          <w:sz w:val="32"/>
          <w:szCs w:val="32"/>
        </w:rPr>
        <w:t>发展战略</w:t>
      </w:r>
      <w:bookmarkEnd w:id="4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围绕新疆社会稳定和长治久安总目标，增强</w:t>
      </w:r>
      <w:r>
        <w:rPr>
          <w:rFonts w:hint="eastAsia" w:ascii="仿宋" w:hAnsi="仿宋" w:eastAsia="仿宋" w:cs="仿宋"/>
          <w:spacing w:val="6"/>
          <w:sz w:val="32"/>
          <w:szCs w:val="32"/>
          <w:lang w:eastAsia="zh-CN"/>
        </w:rPr>
        <w:t>农</w:t>
      </w:r>
      <w:r>
        <w:rPr>
          <w:rFonts w:hint="eastAsia" w:ascii="仿宋" w:hAnsi="仿宋" w:eastAsia="仿宋" w:cs="仿宋"/>
          <w:spacing w:val="6"/>
          <w:sz w:val="32"/>
          <w:szCs w:val="32"/>
        </w:rPr>
        <w:t>业为地区国民经济和社会发展大局服务的意识，把发展</w:t>
      </w:r>
      <w:r>
        <w:rPr>
          <w:rFonts w:hint="eastAsia" w:ascii="仿宋" w:hAnsi="仿宋" w:eastAsia="仿宋" w:cs="仿宋"/>
          <w:spacing w:val="6"/>
          <w:sz w:val="32"/>
          <w:szCs w:val="32"/>
          <w:lang w:eastAsia="zh-CN"/>
        </w:rPr>
        <w:t>农业</w:t>
      </w:r>
      <w:r>
        <w:rPr>
          <w:rFonts w:hint="eastAsia" w:ascii="仿宋" w:hAnsi="仿宋" w:eastAsia="仿宋" w:cs="仿宋"/>
          <w:spacing w:val="6"/>
          <w:sz w:val="32"/>
          <w:szCs w:val="32"/>
        </w:rPr>
        <w:t>作为富民兴区的重要战略举措，充分发挥</w:t>
      </w:r>
      <w:r>
        <w:rPr>
          <w:rFonts w:hint="eastAsia" w:ascii="仿宋" w:hAnsi="仿宋" w:eastAsia="仿宋" w:cs="仿宋"/>
          <w:spacing w:val="6"/>
          <w:sz w:val="32"/>
          <w:szCs w:val="32"/>
          <w:lang w:eastAsia="zh-CN"/>
        </w:rPr>
        <w:t>农</w:t>
      </w:r>
      <w:r>
        <w:rPr>
          <w:rFonts w:hint="eastAsia" w:ascii="仿宋" w:hAnsi="仿宋" w:eastAsia="仿宋" w:cs="仿宋"/>
          <w:spacing w:val="6"/>
          <w:sz w:val="32"/>
          <w:szCs w:val="32"/>
        </w:rPr>
        <w:t>业资源消耗低、带动系数大、就业机会多、综合效益好等方面的作用，把</w:t>
      </w:r>
      <w:r>
        <w:rPr>
          <w:rFonts w:hint="eastAsia" w:ascii="仿宋" w:hAnsi="仿宋" w:eastAsia="仿宋" w:cs="仿宋"/>
          <w:spacing w:val="6"/>
          <w:sz w:val="32"/>
          <w:szCs w:val="32"/>
          <w:lang w:eastAsia="zh-CN"/>
        </w:rPr>
        <w:t>农业</w:t>
      </w:r>
      <w:r>
        <w:rPr>
          <w:rFonts w:hint="eastAsia" w:ascii="仿宋" w:hAnsi="仿宋" w:eastAsia="仿宋" w:cs="仿宋"/>
          <w:spacing w:val="6"/>
          <w:sz w:val="32"/>
          <w:szCs w:val="32"/>
        </w:rPr>
        <w:t>业培育成为推动地区社会经济发展的重要引擎，推动就业增长，培育持久生计，推动</w:t>
      </w:r>
      <w:r>
        <w:rPr>
          <w:rFonts w:hint="eastAsia" w:ascii="仿宋" w:hAnsi="仿宋" w:eastAsia="仿宋" w:cs="仿宋"/>
          <w:spacing w:val="6"/>
          <w:sz w:val="32"/>
          <w:szCs w:val="32"/>
          <w:lang w:eastAsia="zh-CN"/>
        </w:rPr>
        <w:t>农</w:t>
      </w:r>
      <w:r>
        <w:rPr>
          <w:rFonts w:hint="eastAsia" w:ascii="仿宋" w:hAnsi="仿宋" w:eastAsia="仿宋" w:cs="仿宋"/>
          <w:spacing w:val="6"/>
          <w:sz w:val="32"/>
          <w:szCs w:val="32"/>
        </w:rPr>
        <w:t>业成为</w:t>
      </w:r>
      <w:r>
        <w:rPr>
          <w:rFonts w:hint="eastAsia" w:ascii="仿宋" w:hAnsi="仿宋" w:eastAsia="仿宋" w:cs="仿宋"/>
          <w:spacing w:val="6"/>
          <w:sz w:val="32"/>
          <w:szCs w:val="32"/>
          <w:lang w:eastAsia="zh-CN"/>
        </w:rPr>
        <w:t>麦盖提</w:t>
      </w:r>
      <w:r>
        <w:rPr>
          <w:rFonts w:hint="eastAsia" w:ascii="仿宋" w:hAnsi="仿宋" w:eastAsia="仿宋" w:cs="仿宋"/>
          <w:spacing w:val="6"/>
          <w:sz w:val="32"/>
          <w:szCs w:val="32"/>
        </w:rPr>
        <w:t>县改善民生的重要富民产业。</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在全县营造关注</w:t>
      </w:r>
      <w:r>
        <w:rPr>
          <w:rFonts w:hint="eastAsia" w:ascii="仿宋" w:hAnsi="仿宋" w:eastAsia="仿宋" w:cs="仿宋"/>
          <w:spacing w:val="6"/>
          <w:sz w:val="32"/>
          <w:szCs w:val="32"/>
          <w:lang w:eastAsia="zh-CN"/>
        </w:rPr>
        <w:t>农业生产</w:t>
      </w:r>
      <w:r>
        <w:rPr>
          <w:rFonts w:hint="eastAsia" w:ascii="仿宋" w:hAnsi="仿宋" w:eastAsia="仿宋" w:cs="仿宋"/>
          <w:spacing w:val="6"/>
          <w:sz w:val="32"/>
          <w:szCs w:val="32"/>
        </w:rPr>
        <w:t>的良好氛围，推进</w:t>
      </w:r>
      <w:r>
        <w:rPr>
          <w:rFonts w:hint="eastAsia" w:ascii="仿宋" w:hAnsi="仿宋" w:eastAsia="仿宋" w:cs="仿宋"/>
          <w:spacing w:val="6"/>
          <w:sz w:val="32"/>
          <w:szCs w:val="32"/>
          <w:lang w:eastAsia="zh-CN"/>
        </w:rPr>
        <w:t>农业</w:t>
      </w:r>
      <w:r>
        <w:rPr>
          <w:rFonts w:hint="eastAsia" w:ascii="仿宋" w:hAnsi="仿宋" w:eastAsia="仿宋" w:cs="仿宋"/>
          <w:spacing w:val="6"/>
          <w:sz w:val="32"/>
          <w:szCs w:val="32"/>
        </w:rPr>
        <w:t>与民航、、公路、文化、建设、金融、信息、环保、农牧业、工业、林业、商业、水利等各相关行业部门的协作联动，建立和完善适应</w:t>
      </w:r>
      <w:r>
        <w:rPr>
          <w:rFonts w:hint="eastAsia" w:ascii="仿宋" w:hAnsi="仿宋" w:eastAsia="仿宋" w:cs="仿宋"/>
          <w:spacing w:val="6"/>
          <w:sz w:val="32"/>
          <w:szCs w:val="32"/>
          <w:lang w:eastAsia="zh-CN"/>
        </w:rPr>
        <w:t>农</w:t>
      </w:r>
      <w:r>
        <w:rPr>
          <w:rFonts w:hint="eastAsia" w:ascii="仿宋" w:hAnsi="仿宋" w:eastAsia="仿宋" w:cs="仿宋"/>
          <w:spacing w:val="6"/>
          <w:sz w:val="32"/>
          <w:szCs w:val="32"/>
        </w:rPr>
        <w:t>业跨越式发展的综合统筹协调机制，形成发展合力。加强喀什地区各县市之间、兵团与地方之间、与周边地州、与丝绸之路沿线城市和对口援疆省市、与中亚区域的</w:t>
      </w:r>
      <w:r>
        <w:rPr>
          <w:rFonts w:hint="eastAsia" w:ascii="仿宋" w:hAnsi="仿宋" w:eastAsia="仿宋" w:cs="仿宋"/>
          <w:spacing w:val="6"/>
          <w:sz w:val="32"/>
          <w:szCs w:val="32"/>
          <w:lang w:eastAsia="zh-CN"/>
        </w:rPr>
        <w:t>农业</w:t>
      </w:r>
      <w:r>
        <w:rPr>
          <w:rFonts w:hint="eastAsia" w:ascii="仿宋" w:hAnsi="仿宋" w:eastAsia="仿宋" w:cs="仿宋"/>
          <w:spacing w:val="6"/>
          <w:sz w:val="32"/>
          <w:szCs w:val="32"/>
        </w:rPr>
        <w:t>合作，创新合作模式，完善区域合作机制，形成合力推动地区</w:t>
      </w:r>
      <w:r>
        <w:rPr>
          <w:rFonts w:hint="eastAsia" w:ascii="仿宋" w:hAnsi="仿宋" w:eastAsia="仿宋" w:cs="仿宋"/>
          <w:spacing w:val="6"/>
          <w:sz w:val="32"/>
          <w:szCs w:val="32"/>
          <w:lang w:eastAsia="zh-CN"/>
        </w:rPr>
        <w:t>农</w:t>
      </w:r>
      <w:r>
        <w:rPr>
          <w:rFonts w:hint="eastAsia" w:ascii="仿宋" w:hAnsi="仿宋" w:eastAsia="仿宋" w:cs="仿宋"/>
          <w:spacing w:val="6"/>
          <w:sz w:val="32"/>
          <w:szCs w:val="32"/>
        </w:rPr>
        <w:t>业跨越发展。</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满足新疆全区及本项目涉及的地区社会经济发展的要求。从系统的观点出发，以国民经济和社会发展规划为依据，深入研究</w:t>
      </w:r>
      <w:r>
        <w:rPr>
          <w:rFonts w:hint="eastAsia" w:ascii="仿宋" w:hAnsi="仿宋" w:eastAsia="仿宋" w:cs="仿宋"/>
          <w:spacing w:val="6"/>
          <w:sz w:val="32"/>
          <w:szCs w:val="32"/>
          <w:lang w:eastAsia="zh-CN"/>
        </w:rPr>
        <w:t>产业道路</w:t>
      </w:r>
      <w:r>
        <w:rPr>
          <w:rFonts w:hint="eastAsia" w:ascii="仿宋" w:hAnsi="仿宋" w:eastAsia="仿宋" w:cs="仿宋"/>
          <w:spacing w:val="6"/>
          <w:sz w:val="32"/>
          <w:szCs w:val="32"/>
        </w:rPr>
        <w:t>在社会经济这个大系统下所处的地位和承担的功能，确保公路网布局与国民经济和社会发展的总体要求相适应。</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满足</w:t>
      </w:r>
      <w:r>
        <w:rPr>
          <w:rFonts w:hint="eastAsia" w:ascii="仿宋" w:hAnsi="仿宋" w:eastAsia="仿宋" w:cs="仿宋"/>
          <w:spacing w:val="6"/>
          <w:sz w:val="32"/>
          <w:szCs w:val="32"/>
          <w:lang w:eastAsia="zh-CN"/>
        </w:rPr>
        <w:t>农</w:t>
      </w:r>
      <w:r>
        <w:rPr>
          <w:rFonts w:hint="eastAsia" w:ascii="仿宋" w:hAnsi="仿宋" w:eastAsia="仿宋" w:cs="仿宋"/>
          <w:spacing w:val="6"/>
          <w:sz w:val="32"/>
          <w:szCs w:val="32"/>
        </w:rPr>
        <w:t>产业发展要求，按照</w:t>
      </w:r>
      <w:r>
        <w:rPr>
          <w:rFonts w:hint="eastAsia" w:ascii="仿宋" w:hAnsi="仿宋" w:eastAsia="仿宋" w:cs="仿宋"/>
          <w:spacing w:val="6"/>
          <w:sz w:val="32"/>
          <w:szCs w:val="32"/>
          <w:lang w:eastAsia="zh-CN"/>
        </w:rPr>
        <w:t>农产业</w:t>
      </w:r>
      <w:r>
        <w:rPr>
          <w:rFonts w:hint="eastAsia" w:ascii="仿宋" w:hAnsi="仿宋" w:eastAsia="仿宋" w:cs="仿宋"/>
          <w:spacing w:val="6"/>
          <w:sz w:val="32"/>
          <w:szCs w:val="32"/>
        </w:rPr>
        <w:t>交通组织规律，根据</w:t>
      </w:r>
      <w:r>
        <w:rPr>
          <w:rFonts w:hint="eastAsia" w:ascii="仿宋" w:hAnsi="仿宋" w:eastAsia="仿宋" w:cs="仿宋"/>
          <w:spacing w:val="6"/>
          <w:sz w:val="32"/>
          <w:szCs w:val="32"/>
          <w:lang w:eastAsia="zh-CN"/>
        </w:rPr>
        <w:t>产业道路</w:t>
      </w:r>
      <w:r>
        <w:rPr>
          <w:rFonts w:hint="eastAsia" w:ascii="仿宋" w:hAnsi="仿宋" w:eastAsia="仿宋" w:cs="仿宋"/>
          <w:spacing w:val="6"/>
          <w:sz w:val="32"/>
          <w:szCs w:val="32"/>
        </w:rPr>
        <w:t>特点，</w:t>
      </w:r>
      <w:r>
        <w:rPr>
          <w:rFonts w:hint="eastAsia" w:ascii="仿宋" w:hAnsi="仿宋" w:eastAsia="仿宋" w:cs="仿宋"/>
          <w:spacing w:val="6"/>
          <w:sz w:val="32"/>
          <w:szCs w:val="32"/>
          <w:lang w:eastAsia="zh-CN"/>
        </w:rPr>
        <w:t>修建桥梁，桥梁</w:t>
      </w:r>
      <w:r>
        <w:rPr>
          <w:rFonts w:hint="eastAsia" w:ascii="仿宋" w:hAnsi="仿宋" w:eastAsia="仿宋" w:cs="仿宋"/>
          <w:spacing w:val="6"/>
          <w:sz w:val="32"/>
          <w:szCs w:val="32"/>
        </w:rPr>
        <w:t>发展规划遵循以下原则：</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一、</w:t>
      </w:r>
      <w:r>
        <w:rPr>
          <w:rFonts w:hint="eastAsia" w:ascii="仿宋" w:hAnsi="仿宋" w:eastAsia="仿宋" w:cs="仿宋"/>
          <w:b/>
          <w:sz w:val="32"/>
          <w:szCs w:val="32"/>
        </w:rPr>
        <w:t>需求引导，服务为本</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紧围绕服务</w:t>
      </w:r>
      <w:r>
        <w:rPr>
          <w:rFonts w:hint="eastAsia" w:ascii="仿宋" w:hAnsi="仿宋" w:eastAsia="仿宋" w:cs="仿宋"/>
          <w:spacing w:val="6"/>
          <w:sz w:val="32"/>
          <w:szCs w:val="32"/>
          <w:lang w:eastAsia="zh-CN"/>
        </w:rPr>
        <w:t>昂格特勒克乡产业</w:t>
      </w:r>
      <w:r>
        <w:rPr>
          <w:rFonts w:hint="eastAsia" w:ascii="仿宋" w:hAnsi="仿宋" w:eastAsia="仿宋" w:cs="仿宋"/>
          <w:spacing w:val="6"/>
          <w:sz w:val="32"/>
          <w:szCs w:val="32"/>
        </w:rPr>
        <w:t>发展这一中心，根据全现</w:t>
      </w:r>
      <w:r>
        <w:rPr>
          <w:rFonts w:hint="eastAsia" w:ascii="仿宋" w:hAnsi="仿宋" w:eastAsia="仿宋" w:cs="仿宋"/>
          <w:spacing w:val="6"/>
          <w:sz w:val="32"/>
          <w:szCs w:val="32"/>
          <w:lang w:eastAsia="zh-CN"/>
        </w:rPr>
        <w:t>农产品基地</w:t>
      </w:r>
      <w:r>
        <w:rPr>
          <w:rFonts w:hint="eastAsia" w:ascii="仿宋" w:hAnsi="仿宋" w:eastAsia="仿宋" w:cs="仿宋"/>
          <w:spacing w:val="6"/>
          <w:sz w:val="32"/>
          <w:szCs w:val="32"/>
        </w:rPr>
        <w:t>的地理分布特点、现状</w:t>
      </w:r>
      <w:r>
        <w:rPr>
          <w:rFonts w:hint="eastAsia" w:ascii="仿宋" w:hAnsi="仿宋" w:eastAsia="仿宋" w:cs="仿宋"/>
          <w:spacing w:val="6"/>
          <w:sz w:val="32"/>
          <w:szCs w:val="32"/>
          <w:lang w:eastAsia="zh-CN"/>
        </w:rPr>
        <w:t>棉花、枸杞、红枣生产</w:t>
      </w:r>
      <w:r>
        <w:rPr>
          <w:rFonts w:hint="eastAsia" w:ascii="仿宋" w:hAnsi="仿宋" w:eastAsia="仿宋" w:cs="仿宋"/>
          <w:spacing w:val="6"/>
          <w:sz w:val="32"/>
          <w:szCs w:val="32"/>
        </w:rPr>
        <w:t>情况、规划</w:t>
      </w:r>
      <w:r>
        <w:rPr>
          <w:rFonts w:hint="eastAsia" w:ascii="仿宋" w:hAnsi="仿宋" w:eastAsia="仿宋" w:cs="仿宋"/>
          <w:spacing w:val="6"/>
          <w:sz w:val="32"/>
          <w:szCs w:val="32"/>
          <w:lang w:eastAsia="zh-CN"/>
        </w:rPr>
        <w:t>产业道路路线</w:t>
      </w:r>
      <w:r>
        <w:rPr>
          <w:rFonts w:hint="eastAsia" w:ascii="仿宋" w:hAnsi="仿宋" w:eastAsia="仿宋" w:cs="仿宋"/>
          <w:spacing w:val="6"/>
          <w:sz w:val="32"/>
          <w:szCs w:val="32"/>
        </w:rPr>
        <w:t>，适应全</w:t>
      </w:r>
      <w:r>
        <w:rPr>
          <w:rFonts w:hint="eastAsia" w:ascii="仿宋" w:hAnsi="仿宋" w:eastAsia="仿宋" w:cs="仿宋"/>
          <w:spacing w:val="6"/>
          <w:sz w:val="32"/>
          <w:szCs w:val="32"/>
          <w:lang w:eastAsia="zh-CN"/>
        </w:rPr>
        <w:t>县农产品</w:t>
      </w:r>
      <w:r>
        <w:rPr>
          <w:rFonts w:hint="eastAsia" w:ascii="仿宋" w:hAnsi="仿宋" w:eastAsia="仿宋" w:cs="仿宋"/>
          <w:spacing w:val="6"/>
          <w:sz w:val="32"/>
          <w:szCs w:val="32"/>
        </w:rPr>
        <w:t>发展规划与产业布局等的需要，充分考虑</w:t>
      </w:r>
      <w:r>
        <w:rPr>
          <w:rFonts w:hint="eastAsia" w:ascii="仿宋" w:hAnsi="仿宋" w:eastAsia="仿宋" w:cs="仿宋"/>
          <w:spacing w:val="6"/>
          <w:sz w:val="32"/>
          <w:szCs w:val="32"/>
          <w:lang w:eastAsia="zh-CN"/>
        </w:rPr>
        <w:t>出口农产品</w:t>
      </w:r>
      <w:r>
        <w:rPr>
          <w:rFonts w:hint="eastAsia" w:ascii="仿宋" w:hAnsi="仿宋" w:eastAsia="仿宋" w:cs="仿宋"/>
          <w:spacing w:val="6"/>
          <w:sz w:val="32"/>
          <w:szCs w:val="32"/>
        </w:rPr>
        <w:t>趋势，合理预测</w:t>
      </w:r>
      <w:r>
        <w:rPr>
          <w:rFonts w:hint="eastAsia" w:ascii="仿宋" w:hAnsi="仿宋" w:eastAsia="仿宋" w:cs="仿宋"/>
          <w:spacing w:val="6"/>
          <w:sz w:val="32"/>
          <w:szCs w:val="32"/>
          <w:lang w:eastAsia="zh-CN"/>
        </w:rPr>
        <w:t>农产品</w:t>
      </w:r>
      <w:r>
        <w:rPr>
          <w:rFonts w:hint="eastAsia" w:ascii="仿宋" w:hAnsi="仿宋" w:eastAsia="仿宋" w:cs="仿宋"/>
          <w:spacing w:val="6"/>
          <w:sz w:val="32"/>
          <w:szCs w:val="32"/>
        </w:rPr>
        <w:t>交通需求与分布。按照需求导向原则，必须以</w:t>
      </w:r>
      <w:r>
        <w:rPr>
          <w:rFonts w:hint="eastAsia" w:ascii="仿宋" w:hAnsi="仿宋" w:eastAsia="仿宋" w:cs="仿宋"/>
          <w:spacing w:val="6"/>
          <w:sz w:val="32"/>
          <w:szCs w:val="32"/>
          <w:lang w:eastAsia="zh-CN"/>
        </w:rPr>
        <w:t>农产品运输</w:t>
      </w:r>
      <w:r>
        <w:rPr>
          <w:rFonts w:hint="eastAsia" w:ascii="仿宋" w:hAnsi="仿宋" w:eastAsia="仿宋" w:cs="仿宋"/>
          <w:spacing w:val="6"/>
          <w:sz w:val="32"/>
          <w:szCs w:val="32"/>
        </w:rPr>
        <w:t>需求作为确定</w:t>
      </w:r>
      <w:r>
        <w:rPr>
          <w:rFonts w:hint="eastAsia" w:ascii="仿宋" w:hAnsi="仿宋" w:eastAsia="仿宋" w:cs="仿宋"/>
          <w:spacing w:val="6"/>
          <w:sz w:val="32"/>
          <w:szCs w:val="32"/>
          <w:lang w:eastAsia="zh-CN"/>
        </w:rPr>
        <w:t>展业道路</w:t>
      </w:r>
      <w:r>
        <w:rPr>
          <w:rFonts w:hint="eastAsia" w:ascii="仿宋" w:hAnsi="仿宋" w:eastAsia="仿宋" w:cs="仿宋"/>
          <w:spacing w:val="6"/>
          <w:sz w:val="32"/>
          <w:szCs w:val="32"/>
        </w:rPr>
        <w:t>规划方案的基础依据</w:t>
      </w:r>
      <w:r>
        <w:rPr>
          <w:rFonts w:hint="eastAsia" w:ascii="仿宋" w:hAnsi="仿宋" w:eastAsia="仿宋" w:cs="仿宋"/>
          <w:spacing w:val="6"/>
          <w:sz w:val="32"/>
          <w:szCs w:val="32"/>
          <w:lang w:eastAsia="zh-CN"/>
        </w:rPr>
        <w:t>修建本桥梁</w:t>
      </w:r>
      <w:r>
        <w:rPr>
          <w:rFonts w:hint="eastAsia" w:ascii="仿宋" w:hAnsi="仿宋" w:eastAsia="仿宋" w:cs="仿宋"/>
          <w:spacing w:val="6"/>
          <w:sz w:val="32"/>
          <w:szCs w:val="32"/>
        </w:rPr>
        <w:t>。</w:t>
      </w:r>
    </w:p>
    <w:p>
      <w:pPr>
        <w:pageBreakBefore w:val="0"/>
        <w:numPr>
          <w:ilvl w:val="0"/>
          <w:numId w:val="1"/>
        </w:numPr>
        <w:kinsoku/>
        <w:wordWrap/>
        <w:overflowPunct/>
        <w:topLinePunct w:val="0"/>
        <w:bidi w:val="0"/>
        <w:spacing w:line="57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统筹协调，成线成网</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lang w:eastAsia="zh-CN"/>
        </w:rPr>
        <w:t>产业道路</w:t>
      </w:r>
      <w:r>
        <w:rPr>
          <w:rFonts w:hint="eastAsia" w:ascii="仿宋" w:hAnsi="仿宋" w:eastAsia="仿宋" w:cs="仿宋"/>
          <w:spacing w:val="6"/>
          <w:sz w:val="32"/>
          <w:szCs w:val="32"/>
        </w:rPr>
        <w:t>是交通系统的有机组成部分，必须将</w:t>
      </w:r>
      <w:r>
        <w:rPr>
          <w:rFonts w:hint="eastAsia" w:ascii="仿宋" w:hAnsi="仿宋" w:eastAsia="仿宋" w:cs="仿宋"/>
          <w:spacing w:val="6"/>
          <w:sz w:val="32"/>
          <w:szCs w:val="32"/>
          <w:lang w:eastAsia="zh-CN"/>
        </w:rPr>
        <w:t>产业道路</w:t>
      </w:r>
      <w:r>
        <w:rPr>
          <w:rFonts w:hint="eastAsia" w:ascii="仿宋" w:hAnsi="仿宋" w:eastAsia="仿宋" w:cs="仿宋"/>
          <w:spacing w:val="6"/>
          <w:sz w:val="32"/>
          <w:szCs w:val="32"/>
        </w:rPr>
        <w:t>置于综合交通运输体系、公路网络系的背景环境中进行规划，统筹考虑</w:t>
      </w:r>
      <w:r>
        <w:rPr>
          <w:rFonts w:hint="eastAsia" w:ascii="仿宋" w:hAnsi="仿宋" w:eastAsia="仿宋" w:cs="仿宋"/>
          <w:spacing w:val="6"/>
          <w:sz w:val="32"/>
          <w:szCs w:val="32"/>
          <w:lang w:eastAsia="zh-CN"/>
        </w:rPr>
        <w:t>产业道路</w:t>
      </w:r>
      <w:r>
        <w:rPr>
          <w:rFonts w:hint="eastAsia" w:ascii="仿宋" w:hAnsi="仿宋" w:eastAsia="仿宋" w:cs="仿宋"/>
          <w:spacing w:val="6"/>
          <w:sz w:val="32"/>
          <w:szCs w:val="32"/>
        </w:rPr>
        <w:t>与其他运输方式发展、其他运输道路的衔接，通过整合现有公路资源，成线成网，完善路网结构、提高路网效率。</w:t>
      </w:r>
    </w:p>
    <w:p>
      <w:pPr>
        <w:pageBreakBefore w:val="0"/>
        <w:numPr>
          <w:ilvl w:val="0"/>
          <w:numId w:val="1"/>
        </w:numPr>
        <w:kinsoku/>
        <w:wordWrap/>
        <w:overflowPunct/>
        <w:topLinePunct w:val="0"/>
        <w:bidi w:val="0"/>
        <w:spacing w:line="57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适度超前，分期实施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lang w:eastAsia="zh-CN"/>
        </w:rPr>
        <w:t>产业道路</w:t>
      </w:r>
      <w:r>
        <w:rPr>
          <w:rFonts w:hint="eastAsia" w:ascii="仿宋" w:hAnsi="仿宋" w:eastAsia="仿宋" w:cs="仿宋"/>
          <w:spacing w:val="6"/>
          <w:sz w:val="32"/>
          <w:szCs w:val="32"/>
        </w:rPr>
        <w:t>既要提高对既有成熟</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产品的服务能力，更好提高对优质</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资源的开发带动作用，充分认识发展潜力，着眼长远，确定布局方案、技术标准，适度超前，一次规划。同时充分统筹好</w:t>
      </w:r>
      <w:r>
        <w:rPr>
          <w:rFonts w:hint="eastAsia" w:ascii="仿宋" w:hAnsi="仿宋" w:eastAsia="仿宋" w:cs="仿宋"/>
          <w:spacing w:val="6"/>
          <w:sz w:val="32"/>
          <w:szCs w:val="32"/>
          <w:lang w:eastAsia="zh-CN"/>
        </w:rPr>
        <w:t>产业道路</w:t>
      </w:r>
      <w:r>
        <w:rPr>
          <w:rFonts w:hint="eastAsia" w:ascii="仿宋" w:hAnsi="仿宋" w:eastAsia="仿宋" w:cs="仿宋"/>
          <w:spacing w:val="6"/>
          <w:sz w:val="32"/>
          <w:szCs w:val="32"/>
        </w:rPr>
        <w:t>与</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开发之间的关系，根据</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开发进度，分步实施。</w:t>
      </w:r>
    </w:p>
    <w:p>
      <w:pPr>
        <w:pageBreakBefore w:val="0"/>
        <w:kinsoku/>
        <w:wordWrap/>
        <w:overflowPunct/>
        <w:topLinePunct w:val="0"/>
        <w:bidi w:val="0"/>
        <w:spacing w:line="57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四、因地制宜，经济合理</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将“永续利用”、“保护为先”理念贯彻至</w:t>
      </w:r>
      <w:r>
        <w:rPr>
          <w:rFonts w:hint="eastAsia" w:ascii="仿宋" w:hAnsi="仿宋" w:eastAsia="仿宋" w:cs="仿宋"/>
          <w:spacing w:val="6"/>
          <w:sz w:val="32"/>
          <w:szCs w:val="32"/>
          <w:lang w:eastAsia="zh-CN"/>
        </w:rPr>
        <w:t>产业道路</w:t>
      </w:r>
      <w:r>
        <w:rPr>
          <w:rFonts w:hint="eastAsia" w:ascii="仿宋" w:hAnsi="仿宋" w:eastAsia="仿宋" w:cs="仿宋"/>
          <w:spacing w:val="6"/>
          <w:sz w:val="32"/>
          <w:szCs w:val="32"/>
        </w:rPr>
        <w:t>规划，因地制宜，路景合一，实现资源环境的可持续发展，增进人与自然地和谐相处，实现</w:t>
      </w:r>
      <w:r>
        <w:rPr>
          <w:rFonts w:hint="eastAsia" w:ascii="仿宋" w:hAnsi="仿宋" w:eastAsia="仿宋" w:cs="仿宋"/>
          <w:spacing w:val="6"/>
          <w:sz w:val="32"/>
          <w:szCs w:val="32"/>
          <w:lang w:eastAsia="zh-CN"/>
        </w:rPr>
        <w:t>产业道路</w:t>
      </w:r>
      <w:r>
        <w:rPr>
          <w:rFonts w:hint="eastAsia" w:ascii="仿宋" w:hAnsi="仿宋" w:eastAsia="仿宋" w:cs="仿宋"/>
          <w:spacing w:val="6"/>
          <w:sz w:val="32"/>
          <w:szCs w:val="32"/>
        </w:rPr>
        <w:t>建设与环境保护并举、</w:t>
      </w:r>
      <w:r>
        <w:rPr>
          <w:rFonts w:hint="eastAsia" w:ascii="仿宋" w:hAnsi="仿宋" w:eastAsia="仿宋" w:cs="仿宋"/>
          <w:spacing w:val="6"/>
          <w:sz w:val="32"/>
          <w:szCs w:val="32"/>
          <w:lang w:eastAsia="zh-CN"/>
        </w:rPr>
        <w:t>产业道路</w:t>
      </w:r>
      <w:r>
        <w:rPr>
          <w:rFonts w:hint="eastAsia" w:ascii="仿宋" w:hAnsi="仿宋" w:eastAsia="仿宋" w:cs="仿宋"/>
          <w:spacing w:val="6"/>
          <w:sz w:val="32"/>
          <w:szCs w:val="32"/>
        </w:rPr>
        <w:t>发展与自然环境和谐相处的持续性发展。</w:t>
      </w:r>
    </w:p>
    <w:p>
      <w:pPr>
        <w:pageBreakBefore w:val="0"/>
        <w:kinsoku/>
        <w:wordWrap/>
        <w:overflowPunct/>
        <w:topLinePunct w:val="0"/>
        <w:bidi w:val="0"/>
        <w:spacing w:line="57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五、以人为本、安全至上</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“行”是</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六大要素中的一个，是</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中的一个重要环节。</w:t>
      </w:r>
      <w:r>
        <w:rPr>
          <w:rFonts w:hint="eastAsia" w:ascii="仿宋" w:hAnsi="仿宋" w:eastAsia="仿宋" w:cs="仿宋"/>
          <w:spacing w:val="6"/>
          <w:sz w:val="32"/>
          <w:szCs w:val="32"/>
          <w:lang w:eastAsia="zh-CN"/>
        </w:rPr>
        <w:t>产业道路</w:t>
      </w:r>
      <w:r>
        <w:rPr>
          <w:rFonts w:hint="eastAsia" w:ascii="仿宋" w:hAnsi="仿宋" w:eastAsia="仿宋" w:cs="仿宋"/>
          <w:spacing w:val="6"/>
          <w:sz w:val="32"/>
          <w:szCs w:val="32"/>
        </w:rPr>
        <w:t>上客车流量大，外省、外地区</w:t>
      </w:r>
      <w:r>
        <w:rPr>
          <w:rFonts w:hint="eastAsia" w:ascii="仿宋" w:hAnsi="仿宋" w:eastAsia="仿宋" w:cs="仿宋"/>
          <w:spacing w:val="6"/>
          <w:sz w:val="32"/>
          <w:szCs w:val="32"/>
          <w:lang w:eastAsia="zh-CN"/>
        </w:rPr>
        <w:t>农民</w:t>
      </w:r>
      <w:r>
        <w:rPr>
          <w:rFonts w:hint="eastAsia" w:ascii="仿宋" w:hAnsi="仿宋" w:eastAsia="仿宋" w:cs="仿宋"/>
          <w:spacing w:val="6"/>
          <w:sz w:val="32"/>
          <w:szCs w:val="32"/>
        </w:rPr>
        <w:t>多，所以保证</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途中的交通安全是</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发展的必备条件，他关系着</w:t>
      </w:r>
      <w:r>
        <w:rPr>
          <w:rFonts w:hint="eastAsia" w:ascii="仿宋" w:hAnsi="仿宋" w:eastAsia="仿宋" w:cs="仿宋"/>
          <w:spacing w:val="6"/>
          <w:sz w:val="32"/>
          <w:szCs w:val="32"/>
          <w:lang w:eastAsia="zh-CN"/>
        </w:rPr>
        <w:t>农民</w:t>
      </w:r>
      <w:r>
        <w:rPr>
          <w:rFonts w:hint="eastAsia" w:ascii="仿宋" w:hAnsi="仿宋" w:eastAsia="仿宋" w:cs="仿宋"/>
          <w:spacing w:val="6"/>
          <w:sz w:val="32"/>
          <w:szCs w:val="32"/>
        </w:rPr>
        <w:t>的生命财产安全，代表一个地区、一个镇的形象。因此，要把交通安全放在</w:t>
      </w:r>
      <w:r>
        <w:rPr>
          <w:rFonts w:hint="eastAsia" w:ascii="仿宋" w:hAnsi="仿宋" w:eastAsia="仿宋" w:cs="仿宋"/>
          <w:spacing w:val="6"/>
          <w:sz w:val="32"/>
          <w:szCs w:val="32"/>
          <w:lang w:eastAsia="zh-CN"/>
        </w:rPr>
        <w:t>产业道路</w:t>
      </w:r>
      <w:r>
        <w:rPr>
          <w:rFonts w:hint="eastAsia" w:ascii="仿宋" w:hAnsi="仿宋" w:eastAsia="仿宋" w:cs="仿宋"/>
          <w:spacing w:val="6"/>
          <w:sz w:val="32"/>
          <w:szCs w:val="32"/>
        </w:rPr>
        <w:t>发展的第一位，建设人性化安保设施，确保公路使用者行车安全，完善标志、标线等交通安全设施。</w:t>
      </w:r>
    </w:p>
    <w:p>
      <w:pPr>
        <w:pageBreakBefore w:val="0"/>
        <w:kinsoku/>
        <w:wordWrap/>
        <w:overflowPunct/>
        <w:topLinePunct w:val="0"/>
        <w:bidi w:val="0"/>
        <w:spacing w:line="57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六、注重特色，打造精品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lang w:eastAsia="zh-CN"/>
        </w:rPr>
        <w:t>产业道路</w:t>
      </w:r>
      <w:r>
        <w:rPr>
          <w:rFonts w:hint="eastAsia" w:ascii="仿宋" w:hAnsi="仿宋" w:eastAsia="仿宋" w:cs="仿宋"/>
          <w:spacing w:val="6"/>
          <w:sz w:val="32"/>
          <w:szCs w:val="32"/>
        </w:rPr>
        <w:t>的建设，需考虑</w:t>
      </w:r>
      <w:r>
        <w:rPr>
          <w:rFonts w:hint="eastAsia" w:ascii="仿宋" w:hAnsi="仿宋" w:eastAsia="仿宋" w:cs="仿宋"/>
          <w:spacing w:val="6"/>
          <w:sz w:val="32"/>
          <w:szCs w:val="32"/>
          <w:lang w:eastAsia="zh-CN"/>
        </w:rPr>
        <w:t>农民</w:t>
      </w:r>
      <w:r>
        <w:rPr>
          <w:rFonts w:hint="eastAsia" w:ascii="仿宋" w:hAnsi="仿宋" w:eastAsia="仿宋" w:cs="仿宋"/>
          <w:spacing w:val="6"/>
          <w:sz w:val="32"/>
          <w:szCs w:val="32"/>
        </w:rPr>
        <w:t>的客观上、心理上的需求，按照打造精品的要求，体现</w:t>
      </w:r>
      <w:r>
        <w:rPr>
          <w:rFonts w:hint="eastAsia" w:ascii="仿宋" w:hAnsi="仿宋" w:eastAsia="仿宋" w:cs="仿宋"/>
          <w:spacing w:val="6"/>
          <w:sz w:val="32"/>
          <w:szCs w:val="32"/>
          <w:lang w:eastAsia="zh-CN"/>
        </w:rPr>
        <w:t>农产品基地</w:t>
      </w:r>
      <w:r>
        <w:rPr>
          <w:rFonts w:hint="eastAsia" w:ascii="仿宋" w:hAnsi="仿宋" w:eastAsia="仿宋" w:cs="仿宋"/>
          <w:spacing w:val="6"/>
          <w:sz w:val="32"/>
          <w:szCs w:val="32"/>
        </w:rPr>
        <w:t>特色，使</w:t>
      </w:r>
      <w:r>
        <w:rPr>
          <w:rFonts w:hint="eastAsia" w:ascii="仿宋" w:hAnsi="仿宋" w:eastAsia="仿宋" w:cs="仿宋"/>
          <w:spacing w:val="6"/>
          <w:sz w:val="32"/>
          <w:szCs w:val="32"/>
          <w:lang w:eastAsia="zh-CN"/>
        </w:rPr>
        <w:t>农民</w:t>
      </w:r>
      <w:r>
        <w:rPr>
          <w:rFonts w:hint="eastAsia" w:ascii="仿宋" w:hAnsi="仿宋" w:eastAsia="仿宋" w:cs="仿宋"/>
          <w:spacing w:val="6"/>
          <w:sz w:val="32"/>
          <w:szCs w:val="32"/>
        </w:rPr>
        <w:t>的</w:t>
      </w:r>
      <w:r>
        <w:rPr>
          <w:rFonts w:hint="eastAsia" w:ascii="仿宋" w:hAnsi="仿宋" w:eastAsia="仿宋" w:cs="仿宋"/>
          <w:spacing w:val="6"/>
          <w:sz w:val="32"/>
          <w:szCs w:val="32"/>
          <w:lang w:eastAsia="zh-CN"/>
        </w:rPr>
        <w:t>方便、满足感</w:t>
      </w:r>
      <w:r>
        <w:rPr>
          <w:rFonts w:hint="eastAsia" w:ascii="仿宋" w:hAnsi="仿宋" w:eastAsia="仿宋" w:cs="仿宋"/>
          <w:spacing w:val="6"/>
          <w:sz w:val="32"/>
          <w:szCs w:val="32"/>
        </w:rPr>
        <w:t>在</w:t>
      </w:r>
      <w:r>
        <w:rPr>
          <w:rFonts w:hint="eastAsia" w:ascii="仿宋" w:hAnsi="仿宋" w:eastAsia="仿宋" w:cs="仿宋"/>
          <w:spacing w:val="6"/>
          <w:sz w:val="32"/>
          <w:szCs w:val="32"/>
          <w:lang w:eastAsia="zh-CN"/>
        </w:rPr>
        <w:t>产业道路</w:t>
      </w:r>
      <w:r>
        <w:rPr>
          <w:rFonts w:hint="eastAsia" w:ascii="仿宋" w:hAnsi="仿宋" w:eastAsia="仿宋" w:cs="仿宋"/>
          <w:spacing w:val="6"/>
          <w:sz w:val="32"/>
          <w:szCs w:val="32"/>
        </w:rPr>
        <w:t>上延续</w:t>
      </w:r>
      <w:r>
        <w:rPr>
          <w:rFonts w:hint="eastAsia" w:ascii="仿宋" w:hAnsi="仿宋" w:eastAsia="仿宋" w:cs="仿宋"/>
          <w:spacing w:val="6"/>
          <w:sz w:val="32"/>
          <w:szCs w:val="32"/>
          <w:lang w:eastAsia="zh-CN"/>
        </w:rPr>
        <w:t>，要将桥梁与产业道路相配套</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45" w:name="_Toc21029"/>
      <w:r>
        <w:rPr>
          <w:rFonts w:hint="eastAsia" w:ascii="仿宋" w:hAnsi="仿宋" w:eastAsia="仿宋" w:cs="仿宋"/>
          <w:b/>
          <w:bCs/>
          <w:spacing w:val="6"/>
          <w:sz w:val="32"/>
          <w:szCs w:val="32"/>
        </w:rPr>
        <w:t>7.6交</w:t>
      </w:r>
      <w:r>
        <w:rPr>
          <w:rFonts w:hint="eastAsia" w:ascii="仿宋" w:hAnsi="仿宋" w:eastAsia="仿宋" w:cs="仿宋"/>
          <w:b/>
          <w:bCs/>
          <w:spacing w:val="6"/>
          <w:sz w:val="32"/>
          <w:szCs w:val="32"/>
          <w:lang w:eastAsia="zh-CN"/>
        </w:rPr>
        <w:t>产</w:t>
      </w:r>
      <w:r>
        <w:rPr>
          <w:rFonts w:hint="eastAsia" w:ascii="仿宋" w:hAnsi="仿宋" w:eastAsia="仿宋" w:cs="仿宋"/>
          <w:b/>
          <w:bCs/>
          <w:spacing w:val="6"/>
          <w:sz w:val="32"/>
          <w:szCs w:val="32"/>
        </w:rPr>
        <w:t>融合发展目标</w:t>
      </w:r>
      <w:bookmarkEnd w:id="4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为加速项目影响区域内“交通+</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”融合发展，优化</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业发展的基础条件；提升公路品质，使本项目的投资效益与沿线</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发展相互促进，将对本项目沿线及服务区进行</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产业开发拓展。随着运营阶段沿线</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开发的实现，将本项目逐步建为“交</w:t>
      </w:r>
      <w:r>
        <w:rPr>
          <w:rFonts w:hint="eastAsia" w:ascii="仿宋" w:hAnsi="仿宋" w:eastAsia="仿宋" w:cs="仿宋"/>
          <w:spacing w:val="6"/>
          <w:sz w:val="32"/>
          <w:szCs w:val="32"/>
          <w:lang w:eastAsia="zh-CN"/>
        </w:rPr>
        <w:t>产</w:t>
      </w:r>
      <w:r>
        <w:rPr>
          <w:rFonts w:hint="eastAsia" w:ascii="仿宋" w:hAnsi="仿宋" w:eastAsia="仿宋" w:cs="仿宋"/>
          <w:spacing w:val="6"/>
          <w:sz w:val="32"/>
          <w:szCs w:val="32"/>
        </w:rPr>
        <w:t>”融合发展的示范公路。</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依托沿线自然风光</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资源、规模化农田、河流、湖泊峡谷等</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资源，拓展发掘沿线</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产业，升级服务设施，有效提升公路服务品质，形成沿线</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带；通过深度运营沿线</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产业获得增值收益，项目将与沿线</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资源进行一体化捆绑式开发，强化沿线土地利用与交通建设、</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发展的统筹整合，探索交通支撑</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发展、</w:t>
      </w:r>
      <w:r>
        <w:rPr>
          <w:rFonts w:hint="eastAsia" w:ascii="仿宋" w:hAnsi="仿宋" w:eastAsia="仿宋" w:cs="仿宋"/>
          <w:spacing w:val="6"/>
          <w:sz w:val="32"/>
          <w:szCs w:val="32"/>
          <w:lang w:eastAsia="zh-CN"/>
        </w:rPr>
        <w:t>产业</w:t>
      </w:r>
      <w:r>
        <w:rPr>
          <w:rFonts w:hint="eastAsia" w:ascii="仿宋" w:hAnsi="仿宋" w:eastAsia="仿宋" w:cs="仿宋"/>
          <w:spacing w:val="6"/>
          <w:sz w:val="32"/>
          <w:szCs w:val="32"/>
        </w:rPr>
        <w:t>反哺交通发展的模式。</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p>
    <w:p>
      <w:pPr>
        <w:pStyle w:val="24"/>
        <w:pageBreakBefore w:val="0"/>
        <w:kinsoku/>
        <w:wordWrap/>
        <w:overflowPunct/>
        <w:topLinePunct w:val="0"/>
        <w:bidi w:val="0"/>
        <w:snapToGrid w:val="0"/>
        <w:spacing w:line="570" w:lineRule="exact"/>
        <w:ind w:firstLine="0" w:firstLineChars="0"/>
        <w:textAlignment w:val="baseline"/>
        <w:outlineLvl w:val="0"/>
        <w:rPr>
          <w:rFonts w:hint="eastAsia" w:ascii="仿宋" w:hAnsi="仿宋" w:eastAsia="仿宋" w:cs="仿宋"/>
          <w:b/>
          <w:bCs/>
          <w:spacing w:val="6"/>
          <w:sz w:val="36"/>
          <w:szCs w:val="36"/>
        </w:rPr>
      </w:pPr>
      <w:bookmarkStart w:id="46" w:name="_Toc25525"/>
      <w:r>
        <w:rPr>
          <w:rFonts w:hint="eastAsia" w:ascii="仿宋" w:hAnsi="仿宋" w:eastAsia="仿宋" w:cs="仿宋"/>
          <w:b/>
          <w:bCs/>
          <w:spacing w:val="6"/>
          <w:sz w:val="36"/>
          <w:szCs w:val="36"/>
        </w:rPr>
        <w:t>8.风险分析</w:t>
      </w:r>
      <w:bookmarkEnd w:id="46"/>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rPr>
      </w:pPr>
      <w:bookmarkStart w:id="47" w:name="_Toc23990"/>
      <w:r>
        <w:rPr>
          <w:rFonts w:hint="eastAsia" w:ascii="仿宋" w:hAnsi="仿宋" w:eastAsia="仿宋" w:cs="仿宋"/>
          <w:b/>
          <w:bCs/>
          <w:spacing w:val="6"/>
          <w:sz w:val="32"/>
          <w:szCs w:val="32"/>
        </w:rPr>
        <w:t>８.1主要风险因素</w:t>
      </w:r>
      <w:bookmarkEnd w:id="4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项目风险识别与分析贯穿于项目建设和生产运营的全过程。拟投资项目投资分析应着重识别以下风险：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1、组织机构风险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组织机构方面的风险主要指项目组织设置方案不适于拟建项目的建设或营运，项目法人代表，企业管理层不能胜任项目的组织与管理，影响项目的实施。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2、施工技术风险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技术方面的风险主要指项目采用技术（包括引进技术）的先进性、可靠性、适用性和可得性与预测方案发生重大变化，可能给项目带来的风险。拟建项目涉及到桥梁工程结构较为复杂，技术含量相对较高，施工阶段存在技术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3、工程风险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拟建项目工程风险主要包括，由于路线方案、工程地质条件、水文地质条件与预测发生重大变化，导致工程量增加、投资增加、工期拖长给拟建项目带来的风险。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4、投资估算风险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投资估算风险主要来自工程方案变动的工程量增加、工期延长，人工、材料、机械台班、各种费率、利率的提高，征地拆迁工作的进展等。近期以来，我国物价水平明显上升，并有进一步上涨的趋势，物价的上涨会带动人工、筑路材料、机械台班、各种费率的提高，从而增大投资，形成一定的投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5、资金风险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拟建项目为以工代赈项目，资金风险小。</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6、环境影响风险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环境影响风险包括两方面：一方面是建设阶段的风险，另一方面是运营阶段的风险。拟建项目建设阶段环境影响方面的风险主要指工程建设对周围水资源、矿产资源、森林植被、风景名胜、自然环境等产生的负面影响，破坏或影响周边环境，由于政策法规对周边环境的保护而致使项目不能顺利实施或需要增加大量投资进行治理、保护或恢复。拟建项目运营阶段环境影响方面的风险主要指运营阶段，随着道路交通量的增长，公路沿线噪声污染、废气污染日趋严重，环境治理和国家环保政策的调整将加大营运阶段成本或制约道路车流量的增加。</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7、市场风险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交通量构成主要为运输日常百货、农副产品的大型货运车辆。随着国家经济运行态势的调整以及新疆地区对喀什地区的发展规划，对本项目区域日常百货及农副产品的进出往来量造成影响，间接影响到本项目的交通量，从项目整体的交通量预测结果来看，本项目交通量有限，会有一定的还贷风险和市场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8、政策风险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政策风险主要来自两个方面：一是指国家政策影响区域经济的发展，从而影响运输需求；二是国家由于某种政治或经济政策上的原因，对目前公路项目建设、运营、管理等方面政策法规的变化。</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对目前公路项目建设、运营、管理等方面政策法规的变化，例如国家在法律制度、税收制度（如改变或增加项目的税收）、劳资关系等与项目有关的敏感性问题方面的变化等，都可能最终改变项目投资者的经营成本和收入，从而影响项目的获利水平以及债务偿还能力。</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9、社会影响风险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社会影响风险指预测的社会条件、社会环境发生变化，给项目建设和运营带来损失。由于本项目地处新疆，属于多民族聚集地，有90%的居民为新疆维吾尔族同胞，不同民族之间的生活方式会对项目的建设带来一些社会风险，所以本项目的设计实施过程需要充分与地方沟通交流，听取当地意见。</w:t>
      </w:r>
      <w:bookmarkStart w:id="49" w:name="_GoBack"/>
      <w:bookmarkEnd w:id="4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10、不可抗力风险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不可抗力风险通常分为两类：</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①因自然因素导致的不可抗力风险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由于不能合理预见的自然灾害（如地震、洪水、台风等）、病疫等事件导致本项目失败或收益大幅度减少的风险。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②因非自然因素导致的不可抗力风险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由于不可合理预见的战争、暴乱、罢工等事件发生导致本项目失败或收益大幅减少的风险。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11、财务风险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拟建</w:t>
      </w:r>
      <w:r>
        <w:rPr>
          <w:rFonts w:hint="eastAsia" w:ascii="仿宋" w:hAnsi="仿宋" w:eastAsia="仿宋" w:cs="仿宋"/>
          <w:spacing w:val="6"/>
          <w:sz w:val="32"/>
          <w:szCs w:val="32"/>
          <w:lang w:eastAsia="zh-CN"/>
        </w:rPr>
        <w:t>桥梁</w:t>
      </w:r>
      <w:r>
        <w:rPr>
          <w:rFonts w:hint="eastAsia" w:ascii="仿宋" w:hAnsi="仿宋" w:eastAsia="仿宋" w:cs="仿宋"/>
          <w:spacing w:val="6"/>
          <w:sz w:val="32"/>
          <w:szCs w:val="32"/>
        </w:rPr>
        <w:t>投资较大、交通量有限，在项目计算期内从国民经济评价分析来看，项目是可行的。从财务评价方面分析，本项目财务风险较小。</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rPr>
        <w:t>12、其它风险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上述风险分析中未考虑到的风险。</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spacing w:val="6"/>
          <w:sz w:val="32"/>
          <w:szCs w:val="32"/>
        </w:rPr>
      </w:pPr>
      <w:bookmarkStart w:id="48" w:name="_Toc27859"/>
      <w:r>
        <w:rPr>
          <w:rFonts w:hint="eastAsia" w:ascii="仿宋" w:hAnsi="仿宋" w:eastAsia="仿宋" w:cs="仿宋"/>
          <w:b/>
          <w:bCs/>
          <w:spacing w:val="6"/>
          <w:sz w:val="32"/>
          <w:szCs w:val="32"/>
        </w:rPr>
        <w:t>8.2</w:t>
      </w:r>
      <w:r>
        <w:rPr>
          <w:rFonts w:hint="eastAsia" w:ascii="仿宋" w:hAnsi="仿宋" w:eastAsia="仿宋" w:cs="仿宋"/>
          <w:spacing w:val="6"/>
          <w:sz w:val="32"/>
          <w:szCs w:val="32"/>
        </w:rPr>
        <w:t>防范化解措施</w:t>
      </w:r>
      <w:bookmarkEnd w:id="4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风险分析的目的是研究如何降低风险程度或者规避风险，减少风险损失。在预测主要风险因素及其风险程度后，应根据不同风险因素提出相应的规避和防范对策，以期减小可能的损失；可能提出的风险防范对策主要有风险回避、风险控制、风险转移及风险自担几种，应根据风险的种类合理选择。</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r>
        <w:rPr>
          <w:rFonts w:hint="eastAsia" w:ascii="仿宋" w:hAnsi="仿宋" w:eastAsia="仿宋" w:cs="仿宋"/>
          <w:b/>
          <w:bCs/>
          <w:spacing w:val="6"/>
          <w:sz w:val="32"/>
          <w:szCs w:val="32"/>
        </w:rPr>
        <w:t>●组织机构风险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应借鉴行业内知名企业的成功经验、建立科学、严格的公司管理制度，同时应加强投资可行性论证。遵循依法投资原则、战略性投资原则、审慎原则、收益性原则、规模控制原则，按程序进行投资决策。同时从前期开始树立风险防范意识，重视风险防范和控制。对项目的各阶段、各方面风险进行系统的识别和分析，采取有效的风险防范措施，建立完善的风险控制体系，达到防患于未然的目的。</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r>
        <w:rPr>
          <w:rFonts w:hint="eastAsia" w:ascii="仿宋" w:hAnsi="仿宋" w:eastAsia="仿宋" w:cs="仿宋"/>
          <w:b/>
          <w:bCs/>
          <w:spacing w:val="6"/>
          <w:sz w:val="32"/>
          <w:szCs w:val="32"/>
        </w:rPr>
        <w:t>●施工技术风险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spacing w:val="6"/>
          <w:sz w:val="32"/>
          <w:szCs w:val="32"/>
        </w:rPr>
        <w:t>应督促施工队伍积极学习、引进先进、可靠的施工技术和装备，加强施工管理。</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r>
        <w:rPr>
          <w:rFonts w:hint="eastAsia" w:ascii="仿宋" w:hAnsi="仿宋" w:eastAsia="仿宋" w:cs="仿宋"/>
          <w:b/>
          <w:bCs/>
          <w:spacing w:val="6"/>
          <w:sz w:val="32"/>
          <w:szCs w:val="32"/>
        </w:rPr>
        <w:t>●工程风险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与设计单位保持良好沟通，设计阶段加大投入，做好、做全现场勘探、勘察工作，尽量优化设计，防止设计方案发生较大变化，尽量减少不必要的设计变更。</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r>
        <w:rPr>
          <w:rFonts w:hint="eastAsia" w:ascii="仿宋" w:hAnsi="仿宋" w:eastAsia="仿宋" w:cs="仿宋"/>
          <w:b/>
          <w:bCs/>
          <w:spacing w:val="6"/>
          <w:sz w:val="32"/>
          <w:szCs w:val="32"/>
        </w:rPr>
        <w:t>●投资估算及资金风险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要控制这一风险，需从设计和施工两个不同的方面开展工作。设计阶段在满足公路设计标准，满足交通运输要求的前提下，尽可能多做方案，做细方案，通过局部方案的多方案优化比选，组合推荐项目最经济、最合理的方案，</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限度降低工程造价。施工阶段严格管理，在把好质量关的同时，严格控制项工程造价，把握施工进度，做到不窝工、不浪费。同时，在条件允许的前提下，施工过程中，尽可能结合实际情况进一步优化施工图设计，降低工程造价。同时为了防止施工阶段项目区域主要筑路材料的实际价格与现阶段估算价格发生较大偏离，包括征地拆迁价格的变化等，可直接要求地方政府严格按照事先约定的征地拆迁标准来执行，筑路材料可以严格按照招投标方式，通过竞价来达到控制价格的目的。</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r>
        <w:rPr>
          <w:rFonts w:hint="eastAsia" w:ascii="仿宋" w:hAnsi="仿宋" w:eastAsia="仿宋" w:cs="仿宋"/>
          <w:b/>
          <w:bCs/>
          <w:spacing w:val="6"/>
          <w:sz w:val="32"/>
          <w:szCs w:val="32"/>
        </w:rPr>
        <w:t>●环境影响风险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rPr>
      </w:pPr>
      <w:r>
        <w:rPr>
          <w:rFonts w:hint="eastAsia" w:ascii="仿宋" w:hAnsi="仿宋" w:eastAsia="仿宋" w:cs="仿宋"/>
          <w:spacing w:val="6"/>
          <w:sz w:val="32"/>
          <w:szCs w:val="32"/>
        </w:rPr>
        <w:t>施工过程中，严格监察工作，将施工对周边环境的影响降低到最低限度；同时做好与国土部门、文物部门、环境保护部门等相关部门的沟通工作，尽量减少补偿费用。</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r>
        <w:rPr>
          <w:rFonts w:hint="eastAsia" w:ascii="仿宋" w:hAnsi="仿宋" w:eastAsia="仿宋" w:cs="仿宋"/>
          <w:b/>
          <w:bCs/>
          <w:spacing w:val="6"/>
          <w:sz w:val="32"/>
          <w:szCs w:val="32"/>
        </w:rPr>
        <w:t>●市场风险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市场风险产生的因素有几方面，其中重要的是施工阶段项目区域主要筑路材料的实际价格与现阶段估算价格发生较大偏离，包括征地拆迁价格的变化等。</w:t>
      </w:r>
      <w:r>
        <w:rPr>
          <w:rFonts w:hint="eastAsia" w:ascii="仿宋" w:hAnsi="仿宋" w:eastAsia="仿宋" w:cs="仿宋"/>
          <w:spacing w:val="6"/>
          <w:sz w:val="32"/>
          <w:szCs w:val="32"/>
          <w:lang w:eastAsia="zh-CN"/>
        </w:rPr>
        <w:t>本项目不涉及征地拆迁，但因麦盖提的地理位置特殊、砂砾料等其他原材料都需要外地运输，因运距的变化和目前疫情防控等因素的影响，价格变动较大，</w:t>
      </w:r>
      <w:r>
        <w:rPr>
          <w:rFonts w:hint="eastAsia" w:ascii="仿宋" w:hAnsi="仿宋" w:eastAsia="仿宋" w:cs="仿宋"/>
          <w:spacing w:val="6"/>
          <w:sz w:val="32"/>
          <w:szCs w:val="32"/>
        </w:rPr>
        <w:t>直接可要求地方政府严格按照事先约定的标准来执行。筑路材料可以严格按照招投标方式，通过竞价来达到控制价格的目的。</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bCs/>
          <w:spacing w:val="6"/>
          <w:sz w:val="32"/>
          <w:szCs w:val="32"/>
        </w:rPr>
      </w:pPr>
      <w:r>
        <w:rPr>
          <w:rFonts w:hint="eastAsia" w:ascii="仿宋" w:hAnsi="仿宋" w:eastAsia="仿宋" w:cs="仿宋"/>
          <w:b/>
          <w:bCs/>
          <w:spacing w:val="6"/>
          <w:sz w:val="32"/>
          <w:szCs w:val="32"/>
        </w:rPr>
        <w:t>●政策风险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由于国家宏观调控政策、对目前公路项目建设、运营、管理等方面的政策法规、地方政府的发展政策等不以个人或公司的利益为转移，当它们发生变化而给项目公司带来风险时，这种风险的规避只能从其它渠道采取有效方法，建议投资公司在跟地方政府的框架协议中尽可能争取优惠政策，包括税收优惠、延长收费期限或其它补偿等。</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spacing w:val="6"/>
          <w:sz w:val="32"/>
          <w:szCs w:val="32"/>
        </w:rPr>
      </w:pPr>
      <w:r>
        <w:rPr>
          <w:rFonts w:hint="eastAsia" w:ascii="仿宋" w:hAnsi="仿宋" w:eastAsia="仿宋" w:cs="仿宋"/>
          <w:b/>
          <w:bCs/>
          <w:spacing w:val="6"/>
          <w:sz w:val="32"/>
          <w:szCs w:val="32"/>
        </w:rPr>
        <w:t>●社会影响风险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可建立专门的应急组织机构和完善的应急制度，以应对突发性事件对项目建设或运营的影响。</w:t>
      </w:r>
    </w:p>
    <w:p>
      <w:pPr>
        <w:pStyle w:val="24"/>
        <w:pageBreakBefore w:val="0"/>
        <w:kinsoku/>
        <w:wordWrap/>
        <w:overflowPunct/>
        <w:topLinePunct w:val="0"/>
        <w:bidi w:val="0"/>
        <w:spacing w:line="570" w:lineRule="exact"/>
        <w:ind w:firstLine="0" w:firstLineChars="0"/>
        <w:rPr>
          <w:rFonts w:hint="eastAsia" w:ascii="仿宋" w:hAnsi="仿宋" w:eastAsia="仿宋" w:cs="仿宋"/>
          <w:spacing w:val="6"/>
          <w:sz w:val="32"/>
          <w:szCs w:val="32"/>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9"/>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附件</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lang w:eastAsia="zh-CN"/>
        </w:rPr>
        <w:t>：总预算表</w:t>
      </w:r>
    </w:p>
    <w:p>
      <w:pPr>
        <w:pStyle w:val="24"/>
        <w:keepNext w:val="0"/>
        <w:keepLines w:val="0"/>
        <w:pageBreakBefore w:val="0"/>
        <w:widowControl w:val="0"/>
        <w:tabs>
          <w:tab w:val="left" w:pos="7191"/>
        </w:tabs>
        <w:kinsoku/>
        <w:wordWrap/>
        <w:overflowPunct/>
        <w:topLinePunct w:val="0"/>
        <w:autoSpaceDE/>
        <w:autoSpaceDN/>
        <w:bidi w:val="0"/>
        <w:adjustRightInd/>
        <w:snapToGrid/>
        <w:spacing w:line="570" w:lineRule="exact"/>
        <w:ind w:left="0" w:leftChars="0" w:firstLine="0" w:firstLineChars="0"/>
        <w:jc w:val="left"/>
        <w:textAlignment w:val="auto"/>
        <w:outlineLvl w:val="9"/>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ab/>
      </w:r>
    </w:p>
    <w:p>
      <w:pPr>
        <w:pStyle w:val="24"/>
        <w:keepNext w:val="0"/>
        <w:keepLines w:val="0"/>
        <w:pageBreakBefore w:val="0"/>
        <w:widowControl w:val="0"/>
        <w:tabs>
          <w:tab w:val="left" w:pos="7191"/>
        </w:tabs>
        <w:kinsoku/>
        <w:wordWrap/>
        <w:overflowPunct/>
        <w:topLinePunct w:val="0"/>
        <w:autoSpaceDE/>
        <w:autoSpaceDN/>
        <w:bidi w:val="0"/>
        <w:adjustRightInd/>
        <w:snapToGrid/>
        <w:spacing w:line="570" w:lineRule="exact"/>
        <w:ind w:left="0" w:leftChars="0" w:firstLine="0" w:firstLineChars="0"/>
        <w:jc w:val="left"/>
        <w:textAlignment w:val="auto"/>
        <w:outlineLvl w:val="9"/>
        <w:rPr>
          <w:rFonts w:hint="eastAsia" w:ascii="仿宋" w:hAnsi="仿宋" w:eastAsia="仿宋" w:cs="仿宋"/>
          <w:spacing w:val="6"/>
          <w:sz w:val="32"/>
          <w:szCs w:val="32"/>
          <w:lang w:eastAsia="zh-CN"/>
        </w:rPr>
      </w:pPr>
    </w:p>
    <w:p>
      <w:pPr>
        <w:pStyle w:val="24"/>
        <w:keepNext w:val="0"/>
        <w:keepLines w:val="0"/>
        <w:pageBreakBefore w:val="0"/>
        <w:widowControl w:val="0"/>
        <w:tabs>
          <w:tab w:val="left" w:pos="7191"/>
        </w:tabs>
        <w:kinsoku/>
        <w:wordWrap/>
        <w:overflowPunct/>
        <w:topLinePunct w:val="0"/>
        <w:autoSpaceDE/>
        <w:autoSpaceDN/>
        <w:bidi w:val="0"/>
        <w:adjustRightInd/>
        <w:snapToGrid/>
        <w:spacing w:line="570" w:lineRule="exact"/>
        <w:ind w:left="0" w:leftChars="0" w:firstLine="0" w:firstLineChars="0"/>
        <w:jc w:val="left"/>
        <w:textAlignment w:val="auto"/>
        <w:outlineLvl w:val="9"/>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center"/>
        <w:textAlignment w:val="auto"/>
        <w:outlineLvl w:val="9"/>
        <w:rPr>
          <w:rFonts w:hint="eastAsia" w:ascii="仿宋" w:hAnsi="仿宋" w:eastAsia="仿宋" w:cs="仿宋"/>
          <w:spacing w:val="6"/>
          <w:sz w:val="32"/>
          <w:szCs w:val="32"/>
          <w:lang w:eastAsia="zh-CN"/>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麦盖提县农村公路建设养护所</w:t>
      </w: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center"/>
        <w:textAlignment w:val="auto"/>
        <w:outlineLvl w:val="9"/>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 xml:space="preserve">       2022年9月6日</w:t>
      </w: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center"/>
        <w:textAlignment w:val="auto"/>
        <w:outlineLvl w:val="9"/>
        <w:rPr>
          <w:rFonts w:hint="eastAsia" w:ascii="仿宋" w:hAnsi="仿宋" w:eastAsia="仿宋" w:cs="仿宋"/>
          <w:spacing w:val="6"/>
          <w:sz w:val="32"/>
          <w:szCs w:val="32"/>
          <w:lang w:val="en-US" w:eastAsia="zh-CN"/>
        </w:rPr>
      </w:pPr>
    </w:p>
    <w:tbl>
      <w:tblPr>
        <w:tblStyle w:val="13"/>
        <w:tblW w:w="0" w:type="auto"/>
        <w:tblInd w:w="0" w:type="dxa"/>
        <w:tblLayout w:type="fixed"/>
        <w:tblCellMar>
          <w:top w:w="0" w:type="dxa"/>
          <w:left w:w="108" w:type="dxa"/>
          <w:bottom w:w="0" w:type="dxa"/>
          <w:right w:w="108" w:type="dxa"/>
        </w:tblCellMar>
      </w:tblPr>
      <w:tblGrid>
        <w:gridCol w:w="564"/>
        <w:gridCol w:w="2264"/>
        <w:gridCol w:w="912"/>
        <w:gridCol w:w="450"/>
        <w:gridCol w:w="349"/>
        <w:gridCol w:w="825"/>
        <w:gridCol w:w="863"/>
        <w:gridCol w:w="808"/>
        <w:gridCol w:w="683"/>
        <w:gridCol w:w="892"/>
        <w:gridCol w:w="450"/>
      </w:tblGrid>
      <w:tr>
        <w:tblPrEx>
          <w:tblCellMar>
            <w:top w:w="0" w:type="dxa"/>
            <w:left w:w="108" w:type="dxa"/>
            <w:bottom w:w="0" w:type="dxa"/>
            <w:right w:w="108" w:type="dxa"/>
          </w:tblCellMar>
        </w:tblPrEx>
        <w:trPr>
          <w:trHeight w:val="379" w:hRule="atLeast"/>
        </w:trPr>
        <w:tc>
          <w:tcPr>
            <w:tcW w:w="9060" w:type="dxa"/>
            <w:gridSpan w:val="11"/>
            <w:tcBorders>
              <w:top w:val="nil"/>
              <w:left w:val="nil"/>
              <w:bottom w:val="nil"/>
              <w:right w:val="nil"/>
            </w:tcBorders>
            <w:noWrap/>
            <w:vAlign w:val="center"/>
          </w:tcPr>
          <w:p>
            <w:pPr>
              <w:widowControl/>
              <w:jc w:val="left"/>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附件</w:t>
            </w:r>
            <w:r>
              <w:rPr>
                <w:rFonts w:ascii="方正黑体_GBK" w:hAnsi="宋体" w:eastAsia="方正黑体_GBK" w:cs="宋体"/>
                <w:color w:val="000000"/>
                <w:kern w:val="0"/>
                <w:sz w:val="28"/>
                <w:szCs w:val="28"/>
              </w:rPr>
              <w:t>1</w:t>
            </w:r>
          </w:p>
        </w:tc>
      </w:tr>
      <w:tr>
        <w:tblPrEx>
          <w:tblCellMar>
            <w:top w:w="0" w:type="dxa"/>
            <w:left w:w="108" w:type="dxa"/>
            <w:bottom w:w="0" w:type="dxa"/>
            <w:right w:w="108" w:type="dxa"/>
          </w:tblCellMar>
        </w:tblPrEx>
        <w:trPr>
          <w:trHeight w:val="1140" w:hRule="atLeast"/>
        </w:trPr>
        <w:tc>
          <w:tcPr>
            <w:tcW w:w="9060" w:type="dxa"/>
            <w:gridSpan w:val="11"/>
            <w:tcBorders>
              <w:top w:val="nil"/>
              <w:left w:val="nil"/>
              <w:bottom w:val="single" w:color="auto" w:sz="8" w:space="0"/>
              <w:right w:val="nil"/>
            </w:tcBorders>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麦盖提县2023年昂格特勒克乡桥梁建设以工代赈示范工程投资概算（预算）表</w:t>
            </w:r>
          </w:p>
        </w:tc>
      </w:tr>
      <w:tr>
        <w:tblPrEx>
          <w:tblCellMar>
            <w:top w:w="0" w:type="dxa"/>
            <w:left w:w="108" w:type="dxa"/>
            <w:bottom w:w="0" w:type="dxa"/>
            <w:right w:w="108" w:type="dxa"/>
          </w:tblCellMar>
        </w:tblPrEx>
        <w:trPr>
          <w:trHeight w:val="439" w:hRule="atLeast"/>
        </w:trPr>
        <w:tc>
          <w:tcPr>
            <w:tcW w:w="564" w:type="dxa"/>
            <w:vMerge w:val="restart"/>
            <w:tcBorders>
              <w:top w:val="nil"/>
              <w:left w:val="single" w:color="auto" w:sz="8"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序号</w:t>
            </w:r>
          </w:p>
        </w:tc>
        <w:tc>
          <w:tcPr>
            <w:tcW w:w="2264"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工程或费用名称</w:t>
            </w:r>
          </w:p>
        </w:tc>
        <w:tc>
          <w:tcPr>
            <w:tcW w:w="3399" w:type="dxa"/>
            <w:gridSpan w:val="5"/>
            <w:tcBorders>
              <w:top w:val="single" w:color="auto" w:sz="8" w:space="0"/>
              <w:left w:val="nil"/>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概算（预算）投资（万元）</w:t>
            </w:r>
          </w:p>
        </w:tc>
        <w:tc>
          <w:tcPr>
            <w:tcW w:w="808"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占总投资比例（</w:t>
            </w:r>
            <w:r>
              <w:rPr>
                <w:rFonts w:ascii="方正黑体_GBK" w:hAnsi="宋体" w:eastAsia="方正黑体_GBK" w:cs="宋体"/>
                <w:color w:val="000000"/>
                <w:kern w:val="0"/>
                <w:sz w:val="22"/>
                <w:szCs w:val="22"/>
              </w:rPr>
              <w:t>%</w:t>
            </w:r>
            <w:r>
              <w:rPr>
                <w:rFonts w:hint="eastAsia" w:ascii="方正黑体_GBK" w:hAnsi="宋体" w:eastAsia="方正黑体_GBK" w:cs="宋体"/>
                <w:color w:val="000000"/>
                <w:kern w:val="0"/>
                <w:sz w:val="22"/>
                <w:szCs w:val="22"/>
              </w:rPr>
              <w:t>）</w:t>
            </w:r>
          </w:p>
        </w:tc>
        <w:tc>
          <w:tcPr>
            <w:tcW w:w="683"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其中：劳务报酬金额（万元）</w:t>
            </w:r>
          </w:p>
        </w:tc>
        <w:tc>
          <w:tcPr>
            <w:tcW w:w="892"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劳务报酬占申报中央资金比例（</w:t>
            </w:r>
            <w:r>
              <w:rPr>
                <w:rFonts w:ascii="方正黑体_GBK" w:hAnsi="宋体" w:eastAsia="方正黑体_GBK" w:cs="宋体"/>
                <w:color w:val="000000"/>
                <w:kern w:val="0"/>
                <w:sz w:val="22"/>
                <w:szCs w:val="22"/>
              </w:rPr>
              <w:t>%</w:t>
            </w:r>
            <w:r>
              <w:rPr>
                <w:rFonts w:hint="eastAsia" w:ascii="方正黑体_GBK" w:hAnsi="宋体" w:eastAsia="方正黑体_GBK" w:cs="宋体"/>
                <w:color w:val="000000"/>
                <w:kern w:val="0"/>
                <w:sz w:val="22"/>
                <w:szCs w:val="22"/>
              </w:rPr>
              <w:t>）</w:t>
            </w:r>
          </w:p>
        </w:tc>
        <w:tc>
          <w:tcPr>
            <w:tcW w:w="450" w:type="dxa"/>
            <w:vMerge w:val="restart"/>
            <w:tcBorders>
              <w:top w:val="nil"/>
              <w:left w:val="single" w:color="auto" w:sz="4" w:space="0"/>
              <w:bottom w:val="nil"/>
              <w:right w:val="single" w:color="auto" w:sz="8"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备注</w:t>
            </w:r>
          </w:p>
        </w:tc>
      </w:tr>
      <w:tr>
        <w:tblPrEx>
          <w:tblCellMar>
            <w:top w:w="0" w:type="dxa"/>
            <w:left w:w="108" w:type="dxa"/>
            <w:bottom w:w="0" w:type="dxa"/>
            <w:right w:w="108" w:type="dxa"/>
          </w:tblCellMar>
        </w:tblPrEx>
        <w:trPr>
          <w:trHeight w:val="525" w:hRule="atLeast"/>
        </w:trPr>
        <w:tc>
          <w:tcPr>
            <w:tcW w:w="564" w:type="dxa"/>
            <w:vMerge w:val="continue"/>
            <w:tcBorders>
              <w:top w:val="nil"/>
              <w:left w:val="single" w:color="auto" w:sz="8"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2264"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912"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建筑工程</w:t>
            </w:r>
          </w:p>
        </w:tc>
        <w:tc>
          <w:tcPr>
            <w:tcW w:w="450"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安装工程</w:t>
            </w:r>
          </w:p>
        </w:tc>
        <w:tc>
          <w:tcPr>
            <w:tcW w:w="349"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设备购置</w:t>
            </w:r>
          </w:p>
        </w:tc>
        <w:tc>
          <w:tcPr>
            <w:tcW w:w="825"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其他费用</w:t>
            </w:r>
          </w:p>
        </w:tc>
        <w:tc>
          <w:tcPr>
            <w:tcW w:w="863"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808"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683"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892"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450" w:type="dxa"/>
            <w:vMerge w:val="continue"/>
            <w:tcBorders>
              <w:top w:val="nil"/>
              <w:left w:val="single" w:color="auto" w:sz="4" w:space="0"/>
              <w:bottom w:val="nil"/>
              <w:right w:val="single" w:color="auto" w:sz="8" w:space="0"/>
            </w:tcBorders>
            <w:vAlign w:val="center"/>
          </w:tcPr>
          <w:p>
            <w:pPr>
              <w:widowControl/>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342" w:hRule="atLeast"/>
        </w:trPr>
        <w:tc>
          <w:tcPr>
            <w:tcW w:w="56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1"/>
                <w:szCs w:val="21"/>
              </w:rPr>
            </w:pPr>
            <w:r>
              <w:rPr>
                <w:rFonts w:hint="eastAsia" w:ascii="方正仿宋_GBK" w:hAnsi="Times New Roman" w:eastAsia="方正仿宋_GBK"/>
                <w:b/>
                <w:bCs/>
                <w:color w:val="000000"/>
                <w:kern w:val="0"/>
                <w:sz w:val="21"/>
                <w:szCs w:val="21"/>
              </w:rPr>
              <w:t>一</w:t>
            </w:r>
          </w:p>
        </w:tc>
        <w:tc>
          <w:tcPr>
            <w:tcW w:w="2264"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1"/>
                <w:szCs w:val="21"/>
              </w:rPr>
            </w:pPr>
            <w:r>
              <w:rPr>
                <w:rFonts w:hint="eastAsia" w:ascii="方正仿宋_GBK" w:hAnsi="Times New Roman" w:eastAsia="方正仿宋_GBK"/>
                <w:b/>
                <w:bCs/>
                <w:color w:val="000000"/>
                <w:kern w:val="0"/>
                <w:sz w:val="21"/>
                <w:szCs w:val="21"/>
              </w:rPr>
              <w:t>建筑安装工程费</w:t>
            </w:r>
          </w:p>
        </w:tc>
        <w:tc>
          <w:tcPr>
            <w:tcW w:w="912"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宋体"/>
                <w:b/>
                <w:bCs/>
                <w:color w:val="000000"/>
                <w:kern w:val="0"/>
                <w:sz w:val="18"/>
                <w:szCs w:val="18"/>
                <w:lang w:val="en-US" w:eastAsia="zh-CN"/>
              </w:rPr>
            </w:pPr>
            <w:r>
              <w:rPr>
                <w:rFonts w:hint="eastAsia" w:ascii="Times New Roman" w:hAnsi="Times New Roman" w:eastAsia="宋体"/>
                <w:b/>
                <w:bCs/>
                <w:color w:val="000000"/>
                <w:kern w:val="0"/>
                <w:sz w:val="18"/>
                <w:szCs w:val="18"/>
                <w:lang w:val="en-US" w:eastAsia="zh-CN"/>
              </w:rPr>
              <w:t>292.962</w:t>
            </w:r>
          </w:p>
        </w:tc>
        <w:tc>
          <w:tcPr>
            <w:tcW w:w="4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34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82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863"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宋体"/>
                <w:b/>
                <w:bCs/>
                <w:color w:val="000000"/>
                <w:kern w:val="0"/>
                <w:sz w:val="18"/>
                <w:szCs w:val="18"/>
                <w:lang w:val="en-US" w:eastAsia="zh-CN"/>
              </w:rPr>
            </w:pPr>
            <w:r>
              <w:rPr>
                <w:rFonts w:hint="eastAsia" w:ascii="Times New Roman" w:hAnsi="Times New Roman" w:eastAsia="宋体"/>
                <w:b/>
                <w:bCs/>
                <w:color w:val="000000"/>
                <w:kern w:val="0"/>
                <w:sz w:val="18"/>
                <w:szCs w:val="18"/>
                <w:lang w:val="en-US" w:eastAsia="zh-CN"/>
              </w:rPr>
              <w:t>292.962</w:t>
            </w:r>
          </w:p>
        </w:tc>
        <w:tc>
          <w:tcPr>
            <w:tcW w:w="8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lang w:val="en-US" w:eastAsia="zh-CN"/>
              </w:rPr>
              <w:t>83.68</w:t>
            </w:r>
            <w:r>
              <w:rPr>
                <w:rFonts w:ascii="Times New Roman" w:hAnsi="Times New Roman" w:eastAsia="宋体"/>
                <w:b/>
                <w:bCs/>
                <w:color w:val="000000"/>
                <w:kern w:val="0"/>
                <w:sz w:val="18"/>
                <w:szCs w:val="18"/>
              </w:rPr>
              <w:t xml:space="preserve"> </w:t>
            </w:r>
          </w:p>
        </w:tc>
        <w:tc>
          <w:tcPr>
            <w:tcW w:w="683"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宋体"/>
                <w:b/>
                <w:bCs/>
                <w:color w:val="000000"/>
                <w:kern w:val="0"/>
                <w:sz w:val="18"/>
                <w:szCs w:val="18"/>
                <w:lang w:val="en-US" w:eastAsia="zh-CN"/>
              </w:rPr>
            </w:pPr>
            <w:r>
              <w:rPr>
                <w:rFonts w:hint="eastAsia" w:ascii="Times New Roman" w:hAnsi="Times New Roman" w:eastAsia="宋体"/>
                <w:b/>
                <w:bCs/>
                <w:color w:val="000000"/>
                <w:kern w:val="0"/>
                <w:sz w:val="18"/>
                <w:szCs w:val="18"/>
                <w:lang w:val="en-US" w:eastAsia="zh-CN"/>
              </w:rPr>
              <w:t>100</w:t>
            </w:r>
          </w:p>
        </w:tc>
        <w:tc>
          <w:tcPr>
            <w:tcW w:w="8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lang w:val="en-US" w:eastAsia="zh-CN"/>
              </w:rPr>
              <w:t>31.25</w:t>
            </w:r>
            <w:r>
              <w:rPr>
                <w:rFonts w:ascii="Times New Roman" w:hAnsi="Times New Roman" w:eastAsia="宋体"/>
                <w:b/>
                <w:bCs/>
                <w:color w:val="000000"/>
                <w:kern w:val="0"/>
                <w:sz w:val="18"/>
                <w:szCs w:val="18"/>
              </w:rPr>
              <w:t xml:space="preserve"> </w:t>
            </w:r>
          </w:p>
        </w:tc>
        <w:tc>
          <w:tcPr>
            <w:tcW w:w="450" w:type="dxa"/>
            <w:tcBorders>
              <w:top w:val="single" w:color="auto" w:sz="4" w:space="0"/>
              <w:left w:val="nil"/>
              <w:bottom w:val="single" w:color="auto" w:sz="4" w:space="0"/>
              <w:right w:val="single" w:color="auto" w:sz="8"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ascii="Times New Roman" w:hAnsi="Times New Roman" w:eastAsia="宋体"/>
                <w:color w:val="000000"/>
                <w:kern w:val="0"/>
                <w:sz w:val="22"/>
              </w:rPr>
              <w:t>1</w:t>
            </w:r>
          </w:p>
        </w:tc>
        <w:tc>
          <w:tcPr>
            <w:tcW w:w="2264"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lang w:eastAsia="zh-CN"/>
              </w:rPr>
            </w:pPr>
            <w:r>
              <w:rPr>
                <w:rFonts w:hint="eastAsia" w:ascii="方正仿宋_GBK" w:hAnsi="Times New Roman" w:eastAsia="方正仿宋_GBK"/>
                <w:color w:val="000000"/>
                <w:kern w:val="0"/>
                <w:sz w:val="22"/>
                <w:lang w:eastAsia="zh-CN"/>
              </w:rPr>
              <w:t>路基工程</w:t>
            </w:r>
          </w:p>
        </w:tc>
        <w:tc>
          <w:tcPr>
            <w:tcW w:w="91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36.653</w:t>
            </w:r>
          </w:p>
        </w:tc>
        <w:tc>
          <w:tcPr>
            <w:tcW w:w="4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3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36.653</w:t>
            </w:r>
          </w:p>
        </w:tc>
        <w:tc>
          <w:tcPr>
            <w:tcW w:w="80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lang w:val="en-US" w:eastAsia="zh-CN"/>
              </w:rPr>
              <w:t>10.47</w:t>
            </w:r>
            <w:r>
              <w:rPr>
                <w:rFonts w:ascii="Times New Roman" w:hAnsi="Times New Roman" w:eastAsia="宋体"/>
                <w:color w:val="000000"/>
                <w:kern w:val="0"/>
                <w:sz w:val="18"/>
                <w:szCs w:val="18"/>
              </w:rPr>
              <w:t xml:space="preserve"> </w:t>
            </w:r>
          </w:p>
        </w:tc>
        <w:tc>
          <w:tcPr>
            <w:tcW w:w="68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5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eastAsia="宋体"/>
                <w:color w:val="000000"/>
                <w:kern w:val="0"/>
                <w:sz w:val="22"/>
                <w:lang w:val="en-US" w:eastAsia="zh-CN"/>
              </w:rPr>
              <w:t>2</w:t>
            </w:r>
          </w:p>
        </w:tc>
        <w:tc>
          <w:tcPr>
            <w:tcW w:w="2264"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lang w:eastAsia="zh-CN"/>
              </w:rPr>
            </w:pPr>
            <w:r>
              <w:rPr>
                <w:rFonts w:hint="eastAsia" w:ascii="方正仿宋_GBK" w:hAnsi="Times New Roman" w:eastAsia="方正仿宋_GBK"/>
                <w:color w:val="000000"/>
                <w:kern w:val="0"/>
                <w:sz w:val="22"/>
                <w:lang w:eastAsia="zh-CN"/>
              </w:rPr>
              <w:t>路面工程</w:t>
            </w:r>
          </w:p>
        </w:tc>
        <w:tc>
          <w:tcPr>
            <w:tcW w:w="91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19.428</w:t>
            </w:r>
          </w:p>
        </w:tc>
        <w:tc>
          <w:tcPr>
            <w:tcW w:w="4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3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19.428</w:t>
            </w:r>
          </w:p>
        </w:tc>
        <w:tc>
          <w:tcPr>
            <w:tcW w:w="80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lang w:val="en-US" w:eastAsia="zh-CN"/>
              </w:rPr>
              <w:t>5.55</w:t>
            </w:r>
            <w:r>
              <w:rPr>
                <w:rFonts w:ascii="Times New Roman" w:hAnsi="Times New Roman" w:eastAsia="宋体"/>
                <w:color w:val="000000"/>
                <w:kern w:val="0"/>
                <w:sz w:val="18"/>
                <w:szCs w:val="18"/>
              </w:rPr>
              <w:t xml:space="preserve"> </w:t>
            </w:r>
          </w:p>
        </w:tc>
        <w:tc>
          <w:tcPr>
            <w:tcW w:w="68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lang w:val="en-US" w:eastAsia="zh-CN"/>
              </w:rPr>
              <w:t>15</w:t>
            </w:r>
            <w:r>
              <w:rPr>
                <w:rFonts w:hint="eastAsia" w:ascii="Times New Roman" w:hAnsi="Times New Roman" w:eastAsia="宋体"/>
                <w:color w:val="000000"/>
                <w:kern w:val="0"/>
                <w:sz w:val="18"/>
                <w:szCs w:val="18"/>
              </w:rPr>
              <w:t>　</w:t>
            </w:r>
          </w:p>
        </w:tc>
        <w:tc>
          <w:tcPr>
            <w:tcW w:w="8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rPr>
            </w:pPr>
            <w:r>
              <w:rPr>
                <w:rFonts w:hint="eastAsia" w:ascii="Times New Roman" w:hAnsi="Times New Roman" w:eastAsia="宋体"/>
                <w:color w:val="000000"/>
                <w:kern w:val="0"/>
                <w:sz w:val="18"/>
                <w:szCs w:val="18"/>
                <w:lang w:val="en-US" w:eastAsia="zh-CN"/>
              </w:rPr>
              <w:t>4.69</w:t>
            </w:r>
          </w:p>
        </w:tc>
        <w:tc>
          <w:tcPr>
            <w:tcW w:w="45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eastAsia="宋体"/>
                <w:color w:val="000000"/>
                <w:kern w:val="0"/>
                <w:sz w:val="22"/>
                <w:lang w:val="en-US" w:eastAsia="zh-CN"/>
              </w:rPr>
              <w:t>3</w:t>
            </w:r>
          </w:p>
        </w:tc>
        <w:tc>
          <w:tcPr>
            <w:tcW w:w="226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桥梁涵洞工程</w:t>
            </w:r>
          </w:p>
        </w:tc>
        <w:tc>
          <w:tcPr>
            <w:tcW w:w="91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216.38</w:t>
            </w:r>
          </w:p>
        </w:tc>
        <w:tc>
          <w:tcPr>
            <w:tcW w:w="4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3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216.38</w:t>
            </w:r>
          </w:p>
        </w:tc>
        <w:tc>
          <w:tcPr>
            <w:tcW w:w="80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lang w:val="en-US" w:eastAsia="zh-CN"/>
              </w:rPr>
              <w:t>61.81</w:t>
            </w:r>
            <w:r>
              <w:rPr>
                <w:rFonts w:ascii="Times New Roman" w:hAnsi="Times New Roman" w:eastAsia="宋体"/>
                <w:color w:val="000000"/>
                <w:kern w:val="0"/>
                <w:sz w:val="18"/>
                <w:szCs w:val="18"/>
              </w:rPr>
              <w:t xml:space="preserve"> </w:t>
            </w:r>
          </w:p>
        </w:tc>
        <w:tc>
          <w:tcPr>
            <w:tcW w:w="68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64</w:t>
            </w:r>
          </w:p>
        </w:tc>
        <w:tc>
          <w:tcPr>
            <w:tcW w:w="8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20.00</w:t>
            </w:r>
          </w:p>
        </w:tc>
        <w:tc>
          <w:tcPr>
            <w:tcW w:w="45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eastAsia="宋体"/>
                <w:color w:val="000000"/>
                <w:kern w:val="0"/>
                <w:sz w:val="22"/>
                <w:lang w:val="en-US" w:eastAsia="zh-CN"/>
              </w:rPr>
              <w:t>4</w:t>
            </w:r>
          </w:p>
        </w:tc>
        <w:tc>
          <w:tcPr>
            <w:tcW w:w="226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交叉工程</w:t>
            </w:r>
          </w:p>
        </w:tc>
        <w:tc>
          <w:tcPr>
            <w:tcW w:w="91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1.209</w:t>
            </w:r>
          </w:p>
        </w:tc>
        <w:tc>
          <w:tcPr>
            <w:tcW w:w="4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3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1.209</w:t>
            </w:r>
          </w:p>
        </w:tc>
        <w:tc>
          <w:tcPr>
            <w:tcW w:w="80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lang w:val="en-US" w:eastAsia="zh-CN"/>
              </w:rPr>
              <w:t>0.35</w:t>
            </w:r>
            <w:r>
              <w:rPr>
                <w:rFonts w:ascii="Times New Roman" w:hAnsi="Times New Roman" w:eastAsia="宋体"/>
                <w:color w:val="000000"/>
                <w:kern w:val="0"/>
                <w:sz w:val="18"/>
                <w:szCs w:val="18"/>
              </w:rPr>
              <w:t xml:space="preserve"> </w:t>
            </w:r>
          </w:p>
        </w:tc>
        <w:tc>
          <w:tcPr>
            <w:tcW w:w="68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p>
        </w:tc>
        <w:tc>
          <w:tcPr>
            <w:tcW w:w="8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p>
        </w:tc>
        <w:tc>
          <w:tcPr>
            <w:tcW w:w="45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eastAsia="宋体"/>
                <w:color w:val="000000"/>
                <w:kern w:val="0"/>
                <w:sz w:val="22"/>
                <w:lang w:val="en-US" w:eastAsia="zh-CN"/>
              </w:rPr>
              <w:t>5</w:t>
            </w:r>
          </w:p>
        </w:tc>
        <w:tc>
          <w:tcPr>
            <w:tcW w:w="2264"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交通工程及沿线设施</w:t>
            </w:r>
          </w:p>
        </w:tc>
        <w:tc>
          <w:tcPr>
            <w:tcW w:w="91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10.97</w:t>
            </w:r>
          </w:p>
        </w:tc>
        <w:tc>
          <w:tcPr>
            <w:tcW w:w="4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3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lang w:val="en-US" w:eastAsia="zh-CN"/>
              </w:rPr>
              <w:t>10.97</w:t>
            </w:r>
            <w:r>
              <w:rPr>
                <w:rFonts w:ascii="Times New Roman" w:hAnsi="Times New Roman" w:eastAsia="宋体"/>
                <w:color w:val="000000"/>
                <w:kern w:val="0"/>
                <w:sz w:val="18"/>
                <w:szCs w:val="18"/>
              </w:rPr>
              <w:t xml:space="preserve"> </w:t>
            </w:r>
          </w:p>
        </w:tc>
        <w:tc>
          <w:tcPr>
            <w:tcW w:w="80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3.13</w:t>
            </w:r>
          </w:p>
        </w:tc>
        <w:tc>
          <w:tcPr>
            <w:tcW w:w="68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21</w:t>
            </w:r>
          </w:p>
        </w:tc>
        <w:tc>
          <w:tcPr>
            <w:tcW w:w="8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6.56</w:t>
            </w:r>
          </w:p>
        </w:tc>
        <w:tc>
          <w:tcPr>
            <w:tcW w:w="45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34"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eastAsia="宋体"/>
                <w:color w:val="000000"/>
                <w:kern w:val="0"/>
                <w:sz w:val="22"/>
                <w:lang w:val="en-US" w:eastAsia="zh-CN"/>
              </w:rPr>
              <w:t>6</w:t>
            </w:r>
          </w:p>
        </w:tc>
        <w:tc>
          <w:tcPr>
            <w:tcW w:w="226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专项费用</w:t>
            </w:r>
          </w:p>
        </w:tc>
        <w:tc>
          <w:tcPr>
            <w:tcW w:w="912" w:type="dxa"/>
            <w:tcBorders>
              <w:top w:val="nil"/>
              <w:left w:val="nil"/>
              <w:bottom w:val="single" w:color="auto" w:sz="4" w:space="0"/>
              <w:right w:val="nil"/>
            </w:tcBorders>
            <w:noWrap/>
            <w:vAlign w:val="center"/>
          </w:tcPr>
          <w:p>
            <w:pPr>
              <w:widowControl/>
              <w:jc w:val="center"/>
              <w:rPr>
                <w:rFonts w:hint="default" w:ascii="Times New Roman" w:hAnsi="Times New Roman" w:eastAsia="宋体"/>
                <w:color w:val="000000"/>
                <w:kern w:val="0"/>
                <w:sz w:val="20"/>
                <w:szCs w:val="20"/>
                <w:lang w:val="en-US" w:eastAsia="zh-CN"/>
              </w:rPr>
            </w:pPr>
            <w:r>
              <w:rPr>
                <w:rFonts w:hint="eastAsia" w:ascii="Times New Roman" w:hAnsi="Times New Roman" w:eastAsia="宋体"/>
                <w:color w:val="000000"/>
                <w:kern w:val="0"/>
                <w:sz w:val="20"/>
                <w:szCs w:val="20"/>
                <w:lang w:val="en-US" w:eastAsia="zh-CN"/>
              </w:rPr>
              <w:t>8.323</w:t>
            </w:r>
          </w:p>
        </w:tc>
        <w:tc>
          <w:tcPr>
            <w:tcW w:w="45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3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8.323</w:t>
            </w:r>
          </w:p>
        </w:tc>
        <w:tc>
          <w:tcPr>
            <w:tcW w:w="80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lang w:val="en-US" w:eastAsia="zh-CN"/>
              </w:rPr>
              <w:t>2.38</w:t>
            </w:r>
            <w:r>
              <w:rPr>
                <w:rFonts w:ascii="Times New Roman" w:hAnsi="Times New Roman" w:eastAsia="宋体"/>
                <w:color w:val="000000"/>
                <w:kern w:val="0"/>
                <w:sz w:val="18"/>
                <w:szCs w:val="18"/>
              </w:rPr>
              <w:t xml:space="preserve"> </w:t>
            </w:r>
          </w:p>
        </w:tc>
        <w:tc>
          <w:tcPr>
            <w:tcW w:w="68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p>
        </w:tc>
        <w:tc>
          <w:tcPr>
            <w:tcW w:w="8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 xml:space="preserve"> </w:t>
            </w:r>
          </w:p>
        </w:tc>
        <w:tc>
          <w:tcPr>
            <w:tcW w:w="45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264"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0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68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5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264"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2"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50"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4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25"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0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68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9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50"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二</w:t>
            </w:r>
          </w:p>
        </w:tc>
        <w:tc>
          <w:tcPr>
            <w:tcW w:w="2264"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工程建设其他费用</w:t>
            </w:r>
          </w:p>
        </w:tc>
        <w:tc>
          <w:tcPr>
            <w:tcW w:w="91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3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8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86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b/>
                <w:bCs/>
                <w:color w:val="000000"/>
                <w:kern w:val="0"/>
                <w:sz w:val="18"/>
                <w:szCs w:val="18"/>
                <w:lang w:val="en-US" w:eastAsia="zh-CN"/>
              </w:rPr>
            </w:pPr>
            <w:r>
              <w:rPr>
                <w:rFonts w:hint="eastAsia" w:ascii="Times New Roman" w:hAnsi="Times New Roman" w:eastAsia="宋体"/>
                <w:b/>
                <w:bCs/>
                <w:color w:val="000000"/>
                <w:kern w:val="0"/>
                <w:sz w:val="18"/>
                <w:szCs w:val="18"/>
                <w:lang w:val="en-US" w:eastAsia="zh-CN"/>
              </w:rPr>
              <w:t>16.578</w:t>
            </w:r>
          </w:p>
        </w:tc>
        <w:tc>
          <w:tcPr>
            <w:tcW w:w="80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b/>
                <w:bCs/>
                <w:color w:val="000000"/>
                <w:kern w:val="0"/>
                <w:sz w:val="18"/>
                <w:szCs w:val="18"/>
                <w:lang w:val="en-US" w:eastAsia="zh-CN"/>
              </w:rPr>
            </w:pPr>
            <w:r>
              <w:rPr>
                <w:rFonts w:hint="eastAsia" w:ascii="Times New Roman" w:hAnsi="Times New Roman" w:eastAsia="宋体"/>
                <w:b/>
                <w:bCs/>
                <w:color w:val="000000"/>
                <w:kern w:val="0"/>
                <w:sz w:val="18"/>
                <w:szCs w:val="18"/>
                <w:lang w:val="en-US" w:eastAsia="zh-CN"/>
              </w:rPr>
              <w:t>13.4</w:t>
            </w:r>
          </w:p>
        </w:tc>
        <w:tc>
          <w:tcPr>
            <w:tcW w:w="68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5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ascii="Times New Roman" w:hAnsi="Times New Roman" w:eastAsia="宋体"/>
                <w:color w:val="000000"/>
                <w:kern w:val="0"/>
                <w:sz w:val="22"/>
              </w:rPr>
              <w:t>2.1</w:t>
            </w:r>
          </w:p>
        </w:tc>
        <w:tc>
          <w:tcPr>
            <w:tcW w:w="2264"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方正仿宋_GBK" w:hAnsi="Times New Roman" w:eastAsia="方正仿宋_GBK"/>
                <w:color w:val="000000"/>
                <w:kern w:val="0"/>
                <w:sz w:val="22"/>
              </w:rPr>
              <w:t>建设项目管理费</w:t>
            </w:r>
          </w:p>
        </w:tc>
        <w:tc>
          <w:tcPr>
            <w:tcW w:w="91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3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2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10.249</w:t>
            </w:r>
          </w:p>
        </w:tc>
        <w:tc>
          <w:tcPr>
            <w:tcW w:w="86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10.249</w:t>
            </w:r>
          </w:p>
        </w:tc>
        <w:tc>
          <w:tcPr>
            <w:tcW w:w="80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4.9</w:t>
            </w:r>
          </w:p>
        </w:tc>
        <w:tc>
          <w:tcPr>
            <w:tcW w:w="68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5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ascii="Times New Roman" w:hAnsi="Times New Roman" w:eastAsia="宋体"/>
                <w:color w:val="000000"/>
                <w:kern w:val="0"/>
                <w:sz w:val="22"/>
              </w:rPr>
              <w:t>2.2</w:t>
            </w:r>
          </w:p>
        </w:tc>
        <w:tc>
          <w:tcPr>
            <w:tcW w:w="2264"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lang w:eastAsia="zh-CN"/>
              </w:rPr>
            </w:pPr>
            <w:r>
              <w:rPr>
                <w:rFonts w:hint="eastAsia" w:ascii="方正仿宋_GBK" w:hAnsi="Times New Roman" w:eastAsia="方正仿宋_GBK"/>
                <w:color w:val="000000"/>
                <w:kern w:val="0"/>
                <w:sz w:val="22"/>
                <w:lang w:eastAsia="zh-CN"/>
              </w:rPr>
              <w:t>监理费</w:t>
            </w:r>
          </w:p>
        </w:tc>
        <w:tc>
          <w:tcPr>
            <w:tcW w:w="91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3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2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6.329</w:t>
            </w:r>
          </w:p>
        </w:tc>
        <w:tc>
          <w:tcPr>
            <w:tcW w:w="86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6.329</w:t>
            </w:r>
          </w:p>
        </w:tc>
        <w:tc>
          <w:tcPr>
            <w:tcW w:w="80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eastAsia="宋体"/>
                <w:color w:val="000000"/>
                <w:kern w:val="0"/>
                <w:sz w:val="18"/>
                <w:szCs w:val="18"/>
                <w:lang w:val="en-US" w:eastAsia="zh-CN"/>
              </w:rPr>
              <w:t>8.51</w:t>
            </w:r>
          </w:p>
        </w:tc>
        <w:tc>
          <w:tcPr>
            <w:tcW w:w="68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5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264"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3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0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68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5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264"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4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34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825"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80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68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89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50"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三</w:t>
            </w:r>
          </w:p>
        </w:tc>
        <w:tc>
          <w:tcPr>
            <w:tcW w:w="2264"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基本预备费</w:t>
            </w:r>
          </w:p>
        </w:tc>
        <w:tc>
          <w:tcPr>
            <w:tcW w:w="91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3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82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b/>
                <w:bCs/>
                <w:color w:val="000000"/>
                <w:kern w:val="0"/>
                <w:sz w:val="18"/>
                <w:szCs w:val="18"/>
                <w:lang w:val="en-US" w:eastAsia="zh-CN"/>
              </w:rPr>
            </w:pPr>
            <w:r>
              <w:rPr>
                <w:rFonts w:hint="eastAsia" w:ascii="Times New Roman" w:hAnsi="Times New Roman" w:eastAsia="宋体"/>
                <w:b/>
                <w:bCs/>
                <w:color w:val="000000"/>
                <w:kern w:val="0"/>
                <w:sz w:val="18"/>
                <w:szCs w:val="18"/>
                <w:lang w:val="en-US" w:eastAsia="zh-CN"/>
              </w:rPr>
              <w:t>10.197</w:t>
            </w:r>
          </w:p>
        </w:tc>
        <w:tc>
          <w:tcPr>
            <w:tcW w:w="86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b/>
                <w:bCs/>
                <w:color w:val="000000"/>
                <w:kern w:val="0"/>
                <w:sz w:val="18"/>
                <w:szCs w:val="18"/>
                <w:lang w:val="en-US" w:eastAsia="zh-CN"/>
              </w:rPr>
            </w:pPr>
            <w:r>
              <w:rPr>
                <w:rFonts w:hint="eastAsia" w:ascii="Times New Roman" w:hAnsi="Times New Roman" w:eastAsia="宋体"/>
                <w:b/>
                <w:bCs/>
                <w:color w:val="000000"/>
                <w:kern w:val="0"/>
                <w:sz w:val="18"/>
                <w:szCs w:val="18"/>
                <w:lang w:val="en-US" w:eastAsia="zh-CN"/>
              </w:rPr>
              <w:t>10.197</w:t>
            </w:r>
          </w:p>
        </w:tc>
        <w:tc>
          <w:tcPr>
            <w:tcW w:w="80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b/>
                <w:bCs/>
                <w:color w:val="000000"/>
                <w:kern w:val="0"/>
                <w:sz w:val="18"/>
                <w:szCs w:val="18"/>
                <w:lang w:val="en-US" w:eastAsia="zh-CN"/>
              </w:rPr>
            </w:pPr>
            <w:r>
              <w:rPr>
                <w:rFonts w:hint="eastAsia" w:ascii="Times New Roman" w:hAnsi="Times New Roman" w:eastAsia="宋体"/>
                <w:b/>
                <w:bCs/>
                <w:color w:val="000000"/>
                <w:kern w:val="0"/>
                <w:sz w:val="18"/>
                <w:szCs w:val="18"/>
                <w:lang w:val="en-US" w:eastAsia="zh-CN"/>
              </w:rPr>
              <w:t>2.91</w:t>
            </w:r>
          </w:p>
        </w:tc>
        <w:tc>
          <w:tcPr>
            <w:tcW w:w="68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5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264"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0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68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50"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564"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264"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4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25"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0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68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9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50"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439" w:hRule="atLeast"/>
        </w:trPr>
        <w:tc>
          <w:tcPr>
            <w:tcW w:w="2828" w:type="dxa"/>
            <w:gridSpan w:val="2"/>
            <w:tcBorders>
              <w:top w:val="single" w:color="auto" w:sz="4" w:space="0"/>
              <w:left w:val="single" w:color="auto" w:sz="8" w:space="0"/>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项目总投资（一</w:t>
            </w:r>
            <w:r>
              <w:rPr>
                <w:rFonts w:ascii="Times New Roman" w:hAnsi="Times New Roman" w:eastAsia="宋体"/>
                <w:b/>
                <w:bCs/>
                <w:color w:val="000000"/>
                <w:kern w:val="0"/>
                <w:sz w:val="22"/>
              </w:rPr>
              <w:t>+</w:t>
            </w:r>
            <w:r>
              <w:rPr>
                <w:rFonts w:hint="eastAsia" w:ascii="方正仿宋_GBK" w:hAnsi="Times New Roman" w:eastAsia="方正仿宋_GBK"/>
                <w:b/>
                <w:bCs/>
                <w:color w:val="000000"/>
                <w:kern w:val="0"/>
                <w:sz w:val="22"/>
              </w:rPr>
              <w:t>二</w:t>
            </w:r>
            <w:r>
              <w:rPr>
                <w:rFonts w:ascii="Times New Roman" w:hAnsi="Times New Roman" w:eastAsia="宋体"/>
                <w:b/>
                <w:bCs/>
                <w:color w:val="000000"/>
                <w:kern w:val="0"/>
                <w:sz w:val="22"/>
              </w:rPr>
              <w:t>+</w:t>
            </w:r>
            <w:r>
              <w:rPr>
                <w:rFonts w:hint="eastAsia" w:ascii="方正仿宋_GBK" w:hAnsi="Times New Roman" w:eastAsia="方正仿宋_GBK"/>
                <w:b/>
                <w:bCs/>
                <w:color w:val="000000"/>
                <w:kern w:val="0"/>
                <w:sz w:val="22"/>
              </w:rPr>
              <w:t>三）</w:t>
            </w:r>
          </w:p>
        </w:tc>
        <w:tc>
          <w:tcPr>
            <w:tcW w:w="912"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Times New Roman" w:hAnsi="Times New Roman" w:eastAsia="宋体"/>
                <w:b/>
                <w:bCs/>
                <w:color w:val="000000"/>
                <w:kern w:val="0"/>
                <w:sz w:val="22"/>
              </w:rPr>
              <w:t>　</w:t>
            </w:r>
          </w:p>
        </w:tc>
        <w:tc>
          <w:tcPr>
            <w:tcW w:w="450"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Times New Roman" w:hAnsi="Times New Roman" w:eastAsia="宋体"/>
                <w:b/>
                <w:bCs/>
                <w:color w:val="000000"/>
                <w:kern w:val="0"/>
                <w:sz w:val="22"/>
              </w:rPr>
              <w:t>　</w:t>
            </w:r>
          </w:p>
        </w:tc>
        <w:tc>
          <w:tcPr>
            <w:tcW w:w="349"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Times New Roman" w:hAnsi="Times New Roman" w:eastAsia="宋体"/>
                <w:b/>
                <w:bCs/>
                <w:color w:val="000000"/>
                <w:kern w:val="0"/>
                <w:sz w:val="22"/>
              </w:rPr>
              <w:t>　</w:t>
            </w:r>
          </w:p>
        </w:tc>
        <w:tc>
          <w:tcPr>
            <w:tcW w:w="825"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Times New Roman" w:hAnsi="Times New Roman" w:eastAsia="宋体"/>
                <w:b/>
                <w:bCs/>
                <w:color w:val="000000"/>
                <w:kern w:val="0"/>
                <w:sz w:val="22"/>
              </w:rPr>
              <w:t>　</w:t>
            </w:r>
          </w:p>
        </w:tc>
        <w:tc>
          <w:tcPr>
            <w:tcW w:w="863"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lang w:val="en-US" w:eastAsia="zh-CN"/>
              </w:rPr>
              <w:t>319.737</w:t>
            </w:r>
            <w:r>
              <w:rPr>
                <w:rFonts w:ascii="Times New Roman" w:hAnsi="Times New Roman" w:eastAsia="宋体"/>
                <w:b/>
                <w:bCs/>
                <w:color w:val="000000"/>
                <w:kern w:val="0"/>
                <w:sz w:val="18"/>
                <w:szCs w:val="18"/>
              </w:rPr>
              <w:t xml:space="preserve"> </w:t>
            </w:r>
          </w:p>
        </w:tc>
        <w:tc>
          <w:tcPr>
            <w:tcW w:w="808"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18"/>
                <w:szCs w:val="18"/>
              </w:rPr>
            </w:pPr>
          </w:p>
        </w:tc>
        <w:tc>
          <w:tcPr>
            <w:tcW w:w="683" w:type="dxa"/>
            <w:tcBorders>
              <w:top w:val="nil"/>
              <w:left w:val="nil"/>
              <w:bottom w:val="single" w:color="auto" w:sz="8" w:space="0"/>
              <w:right w:val="single" w:color="auto" w:sz="4" w:space="0"/>
            </w:tcBorders>
            <w:noWrap/>
            <w:vAlign w:val="center"/>
          </w:tcPr>
          <w:p>
            <w:pPr>
              <w:widowControl/>
              <w:jc w:val="center"/>
              <w:rPr>
                <w:rFonts w:hint="default" w:ascii="Times New Roman" w:hAnsi="Times New Roman" w:eastAsia="宋体"/>
                <w:b/>
                <w:bCs/>
                <w:color w:val="000000"/>
                <w:kern w:val="0"/>
                <w:sz w:val="18"/>
                <w:szCs w:val="18"/>
                <w:lang w:val="en-US" w:eastAsia="zh-CN"/>
              </w:rPr>
            </w:pPr>
            <w:r>
              <w:rPr>
                <w:rFonts w:hint="eastAsia" w:ascii="Times New Roman" w:hAnsi="Times New Roman" w:eastAsia="宋体"/>
                <w:b/>
                <w:bCs/>
                <w:color w:val="000000"/>
                <w:kern w:val="0"/>
                <w:sz w:val="18"/>
                <w:szCs w:val="18"/>
                <w:lang w:val="en-US" w:eastAsia="zh-CN"/>
              </w:rPr>
              <w:t>100</w:t>
            </w:r>
          </w:p>
        </w:tc>
        <w:tc>
          <w:tcPr>
            <w:tcW w:w="892"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lang w:val="en-US" w:eastAsia="zh-CN"/>
              </w:rPr>
              <w:t>31.25</w:t>
            </w:r>
            <w:r>
              <w:rPr>
                <w:rFonts w:ascii="Times New Roman" w:hAnsi="Times New Roman" w:eastAsia="宋体"/>
                <w:b/>
                <w:bCs/>
                <w:color w:val="000000"/>
                <w:kern w:val="0"/>
                <w:sz w:val="18"/>
                <w:szCs w:val="18"/>
              </w:rPr>
              <w:t xml:space="preserve"> </w:t>
            </w:r>
          </w:p>
        </w:tc>
        <w:tc>
          <w:tcPr>
            <w:tcW w:w="450" w:type="dxa"/>
            <w:tcBorders>
              <w:top w:val="nil"/>
              <w:left w:val="nil"/>
              <w:bottom w:val="single" w:color="auto" w:sz="8" w:space="0"/>
              <w:right w:val="single" w:color="auto" w:sz="8" w:space="0"/>
            </w:tcBorders>
            <w:noWrap/>
            <w:vAlign w:val="center"/>
          </w:tcPr>
          <w:p>
            <w:pPr>
              <w:widowControl/>
              <w:jc w:val="center"/>
              <w:rPr>
                <w:rFonts w:ascii="Times New Roman" w:hAnsi="Times New Roman" w:eastAsia="宋体"/>
                <w:b/>
                <w:bCs/>
                <w:color w:val="000000"/>
                <w:kern w:val="0"/>
                <w:sz w:val="22"/>
              </w:rPr>
            </w:pPr>
            <w:r>
              <w:rPr>
                <w:rFonts w:hint="eastAsia" w:ascii="Times New Roman" w:hAnsi="Times New Roman" w:eastAsia="宋体"/>
                <w:b/>
                <w:bCs/>
                <w:color w:val="000000"/>
                <w:kern w:val="0"/>
                <w:sz w:val="22"/>
              </w:rPr>
              <w:t>　</w:t>
            </w:r>
          </w:p>
        </w:tc>
      </w:tr>
    </w:tbl>
    <w:p>
      <w:pPr>
        <w:pStyle w:val="24"/>
        <w:spacing w:line="570" w:lineRule="exact"/>
        <w:ind w:firstLine="664"/>
        <w:jc w:val="center"/>
        <w:rPr>
          <w:rFonts w:ascii="Times New Roman" w:hAnsi="Times New Roman" w:eastAsia="方正仿宋_GBK" w:cs="方正仿宋_GBK"/>
          <w:spacing w:val="6"/>
          <w:sz w:val="32"/>
          <w:szCs w:val="32"/>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center"/>
        <w:textAlignment w:val="auto"/>
        <w:outlineLvl w:val="9"/>
        <w:rPr>
          <w:rFonts w:hint="eastAsia" w:ascii="仿宋" w:hAnsi="仿宋" w:eastAsia="仿宋" w:cs="仿宋"/>
          <w:spacing w:val="6"/>
          <w:sz w:val="32"/>
          <w:szCs w:val="32"/>
          <w:lang w:val="en-US"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center"/>
        <w:textAlignment w:val="auto"/>
        <w:outlineLvl w:val="9"/>
        <w:rPr>
          <w:rFonts w:hint="eastAsia" w:ascii="仿宋" w:hAnsi="仿宋" w:eastAsia="仿宋" w:cs="仿宋"/>
          <w:spacing w:val="6"/>
          <w:sz w:val="32"/>
          <w:szCs w:val="32"/>
        </w:rPr>
      </w:pPr>
    </w:p>
    <w:sectPr>
      <w:headerReference r:id="rId7" w:type="default"/>
      <w:footerReference r:id="rId8" w:type="default"/>
      <w:pgSz w:w="11906" w:h="16838"/>
      <w:pgMar w:top="2098" w:right="1531" w:bottom="1984" w:left="1531" w:header="851" w:footer="992" w:gutter="0"/>
      <w:pgNumType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Yb2gj">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lang w:val="zh-CN"/>
      </w:rPr>
      <w:t>~</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19</w:t>
    </w:r>
    <w:r>
      <w:rPr>
        <w:rFonts w:ascii="Times New Roman" w:hAnsi="Times New Roman"/>
        <w:sz w:val="21"/>
        <w:szCs w:val="21"/>
      </w:rPr>
      <w:fldChar w:fldCharType="end"/>
    </w:r>
    <w:r>
      <w:rPr>
        <w:rFonts w:ascii="Times New Roman" w:hAnsi="Times New Roman"/>
        <w:sz w:val="21"/>
        <w:szCs w:val="21"/>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lang w:val="zh-CN"/>
      </w:rPr>
      <w:t>~</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r>
      <w:rPr>
        <w:rFonts w:ascii="Times New Roman" w:hAnsi="Times New Roman"/>
        <w:sz w:val="21"/>
        <w:szCs w:val="21"/>
        <w:lang w:val="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A49EF"/>
    <w:multiLevelType w:val="singleLevel"/>
    <w:tmpl w:val="7BEA49EF"/>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M1ZjcyYTM4MGVhNjhhNzRiYWY5MzBiMDJkYTcwZjUifQ=="/>
  </w:docVars>
  <w:rsids>
    <w:rsidRoot w:val="00172A27"/>
    <w:rsid w:val="00017D72"/>
    <w:rsid w:val="00021092"/>
    <w:rsid w:val="00036ACC"/>
    <w:rsid w:val="0005491C"/>
    <w:rsid w:val="00096F1A"/>
    <w:rsid w:val="00121F55"/>
    <w:rsid w:val="001504EF"/>
    <w:rsid w:val="00152CC1"/>
    <w:rsid w:val="00172A27"/>
    <w:rsid w:val="00182387"/>
    <w:rsid w:val="001B0774"/>
    <w:rsid w:val="001B24F1"/>
    <w:rsid w:val="001C0158"/>
    <w:rsid w:val="001D5BA5"/>
    <w:rsid w:val="00280B22"/>
    <w:rsid w:val="00286DB6"/>
    <w:rsid w:val="00290EF7"/>
    <w:rsid w:val="00291AFB"/>
    <w:rsid w:val="002B58D3"/>
    <w:rsid w:val="002E042F"/>
    <w:rsid w:val="002E7346"/>
    <w:rsid w:val="00323D4A"/>
    <w:rsid w:val="00356B2E"/>
    <w:rsid w:val="00362C82"/>
    <w:rsid w:val="0036566E"/>
    <w:rsid w:val="00392DC7"/>
    <w:rsid w:val="003E344D"/>
    <w:rsid w:val="0040159C"/>
    <w:rsid w:val="00407F2D"/>
    <w:rsid w:val="004347AF"/>
    <w:rsid w:val="004A2182"/>
    <w:rsid w:val="004B123D"/>
    <w:rsid w:val="004B669C"/>
    <w:rsid w:val="00531956"/>
    <w:rsid w:val="00577A4A"/>
    <w:rsid w:val="00583871"/>
    <w:rsid w:val="005A7CDA"/>
    <w:rsid w:val="005B61BD"/>
    <w:rsid w:val="006B6DF6"/>
    <w:rsid w:val="006C56FE"/>
    <w:rsid w:val="00706BA9"/>
    <w:rsid w:val="00723E89"/>
    <w:rsid w:val="00750E70"/>
    <w:rsid w:val="0075190F"/>
    <w:rsid w:val="00772BC6"/>
    <w:rsid w:val="007A40B7"/>
    <w:rsid w:val="007C3495"/>
    <w:rsid w:val="00802AF0"/>
    <w:rsid w:val="00812ED9"/>
    <w:rsid w:val="0082057F"/>
    <w:rsid w:val="00853BE6"/>
    <w:rsid w:val="008A048B"/>
    <w:rsid w:val="008D7AA2"/>
    <w:rsid w:val="008F598A"/>
    <w:rsid w:val="0092513B"/>
    <w:rsid w:val="0093638A"/>
    <w:rsid w:val="00940D97"/>
    <w:rsid w:val="00986D86"/>
    <w:rsid w:val="009E139E"/>
    <w:rsid w:val="009E6332"/>
    <w:rsid w:val="009F3350"/>
    <w:rsid w:val="00A0692A"/>
    <w:rsid w:val="00A06F97"/>
    <w:rsid w:val="00A21A15"/>
    <w:rsid w:val="00A21BFD"/>
    <w:rsid w:val="00A400FD"/>
    <w:rsid w:val="00A65B21"/>
    <w:rsid w:val="00A73BD9"/>
    <w:rsid w:val="00AB7B21"/>
    <w:rsid w:val="00AC6766"/>
    <w:rsid w:val="00AE5C62"/>
    <w:rsid w:val="00B133D8"/>
    <w:rsid w:val="00B20820"/>
    <w:rsid w:val="00B24B29"/>
    <w:rsid w:val="00B3614B"/>
    <w:rsid w:val="00B70DAF"/>
    <w:rsid w:val="00B87034"/>
    <w:rsid w:val="00BA337D"/>
    <w:rsid w:val="00BC0EB9"/>
    <w:rsid w:val="00BE22FA"/>
    <w:rsid w:val="00BE45BC"/>
    <w:rsid w:val="00C04AF1"/>
    <w:rsid w:val="00C20A57"/>
    <w:rsid w:val="00C86A1D"/>
    <w:rsid w:val="00C968FC"/>
    <w:rsid w:val="00CC6C7E"/>
    <w:rsid w:val="00D11920"/>
    <w:rsid w:val="00D33BBC"/>
    <w:rsid w:val="00D70622"/>
    <w:rsid w:val="00D82147"/>
    <w:rsid w:val="00D90940"/>
    <w:rsid w:val="00DC3189"/>
    <w:rsid w:val="00DD5FAB"/>
    <w:rsid w:val="00E0037D"/>
    <w:rsid w:val="00E165F2"/>
    <w:rsid w:val="00E626BA"/>
    <w:rsid w:val="00E76359"/>
    <w:rsid w:val="00E82F07"/>
    <w:rsid w:val="00E92E24"/>
    <w:rsid w:val="00EA464A"/>
    <w:rsid w:val="00EC7E67"/>
    <w:rsid w:val="00EE3C29"/>
    <w:rsid w:val="00F064AE"/>
    <w:rsid w:val="00F1591A"/>
    <w:rsid w:val="00F2497D"/>
    <w:rsid w:val="00FA224E"/>
    <w:rsid w:val="00FB46D3"/>
    <w:rsid w:val="00FB5B77"/>
    <w:rsid w:val="00FC4C92"/>
    <w:rsid w:val="00FD3975"/>
    <w:rsid w:val="012314AB"/>
    <w:rsid w:val="0158321F"/>
    <w:rsid w:val="01620834"/>
    <w:rsid w:val="01B2379A"/>
    <w:rsid w:val="01BC0FA3"/>
    <w:rsid w:val="020E7EB7"/>
    <w:rsid w:val="02381182"/>
    <w:rsid w:val="02B20C36"/>
    <w:rsid w:val="02BE3A7E"/>
    <w:rsid w:val="03C110F9"/>
    <w:rsid w:val="04206159"/>
    <w:rsid w:val="060A0E5F"/>
    <w:rsid w:val="069936B8"/>
    <w:rsid w:val="06B52CE3"/>
    <w:rsid w:val="07BB4F31"/>
    <w:rsid w:val="07C532C2"/>
    <w:rsid w:val="08157B45"/>
    <w:rsid w:val="08500D65"/>
    <w:rsid w:val="09715B6E"/>
    <w:rsid w:val="09EC23D5"/>
    <w:rsid w:val="09FD689E"/>
    <w:rsid w:val="0A743EC7"/>
    <w:rsid w:val="0CBE467B"/>
    <w:rsid w:val="0CD1749B"/>
    <w:rsid w:val="0D256CBB"/>
    <w:rsid w:val="0D8B586B"/>
    <w:rsid w:val="0DD95C10"/>
    <w:rsid w:val="0E66162E"/>
    <w:rsid w:val="0E7B501C"/>
    <w:rsid w:val="0ED71E5B"/>
    <w:rsid w:val="0F203C3E"/>
    <w:rsid w:val="11C41482"/>
    <w:rsid w:val="12B07463"/>
    <w:rsid w:val="12FA35D5"/>
    <w:rsid w:val="13937257"/>
    <w:rsid w:val="13A520F1"/>
    <w:rsid w:val="14AC4637"/>
    <w:rsid w:val="14BB6147"/>
    <w:rsid w:val="15035054"/>
    <w:rsid w:val="15722CF6"/>
    <w:rsid w:val="161B0A6D"/>
    <w:rsid w:val="17C074F9"/>
    <w:rsid w:val="17EF6030"/>
    <w:rsid w:val="18DD20B7"/>
    <w:rsid w:val="190D2C12"/>
    <w:rsid w:val="19457CED"/>
    <w:rsid w:val="1A584B63"/>
    <w:rsid w:val="1A706AF8"/>
    <w:rsid w:val="1ACC4407"/>
    <w:rsid w:val="1B395C34"/>
    <w:rsid w:val="1B4A0140"/>
    <w:rsid w:val="1BE207E3"/>
    <w:rsid w:val="1BFD4BFD"/>
    <w:rsid w:val="1C85638D"/>
    <w:rsid w:val="1D274D79"/>
    <w:rsid w:val="1D6A06BD"/>
    <w:rsid w:val="1D7C130D"/>
    <w:rsid w:val="1D8F62F3"/>
    <w:rsid w:val="1DA311B5"/>
    <w:rsid w:val="1DF51867"/>
    <w:rsid w:val="1E2017E9"/>
    <w:rsid w:val="1E213C55"/>
    <w:rsid w:val="1E2C1BBB"/>
    <w:rsid w:val="1E2C4CBC"/>
    <w:rsid w:val="1E61736E"/>
    <w:rsid w:val="1E8C664B"/>
    <w:rsid w:val="1F0C67C0"/>
    <w:rsid w:val="1F23309C"/>
    <w:rsid w:val="1F552C1D"/>
    <w:rsid w:val="1F6454B6"/>
    <w:rsid w:val="1F734E81"/>
    <w:rsid w:val="1FA3721B"/>
    <w:rsid w:val="20693185"/>
    <w:rsid w:val="208878DC"/>
    <w:rsid w:val="21D70DF2"/>
    <w:rsid w:val="22AF5101"/>
    <w:rsid w:val="23E30AC5"/>
    <w:rsid w:val="24FE78B3"/>
    <w:rsid w:val="25C14172"/>
    <w:rsid w:val="25DA4D4D"/>
    <w:rsid w:val="261A0C88"/>
    <w:rsid w:val="26F05FA5"/>
    <w:rsid w:val="27286E69"/>
    <w:rsid w:val="27753284"/>
    <w:rsid w:val="27ED27C0"/>
    <w:rsid w:val="28137707"/>
    <w:rsid w:val="284657F9"/>
    <w:rsid w:val="28D725C7"/>
    <w:rsid w:val="290D1026"/>
    <w:rsid w:val="29854F98"/>
    <w:rsid w:val="29E4351B"/>
    <w:rsid w:val="2A585F26"/>
    <w:rsid w:val="2A7A6F90"/>
    <w:rsid w:val="2B112AFD"/>
    <w:rsid w:val="2BCC7BEB"/>
    <w:rsid w:val="2DC66C82"/>
    <w:rsid w:val="2EAB17DE"/>
    <w:rsid w:val="2F577040"/>
    <w:rsid w:val="2F69244D"/>
    <w:rsid w:val="2FC121F0"/>
    <w:rsid w:val="30376383"/>
    <w:rsid w:val="3065400D"/>
    <w:rsid w:val="30813272"/>
    <w:rsid w:val="30D32CE3"/>
    <w:rsid w:val="30DC5834"/>
    <w:rsid w:val="31B42060"/>
    <w:rsid w:val="31F52C3B"/>
    <w:rsid w:val="31FF1D26"/>
    <w:rsid w:val="32152283"/>
    <w:rsid w:val="32250F91"/>
    <w:rsid w:val="32274B8B"/>
    <w:rsid w:val="325F23CF"/>
    <w:rsid w:val="32F9796A"/>
    <w:rsid w:val="338A1331"/>
    <w:rsid w:val="338A1C5E"/>
    <w:rsid w:val="34BC3317"/>
    <w:rsid w:val="353F1DF5"/>
    <w:rsid w:val="36CA5847"/>
    <w:rsid w:val="36EB2E81"/>
    <w:rsid w:val="36F56A14"/>
    <w:rsid w:val="371001AD"/>
    <w:rsid w:val="37190CCB"/>
    <w:rsid w:val="371B0159"/>
    <w:rsid w:val="37E071AC"/>
    <w:rsid w:val="37E15BDC"/>
    <w:rsid w:val="37F26B4C"/>
    <w:rsid w:val="391F4E2B"/>
    <w:rsid w:val="3A1A1771"/>
    <w:rsid w:val="3A7A7584"/>
    <w:rsid w:val="3AB900AC"/>
    <w:rsid w:val="3B505360"/>
    <w:rsid w:val="3B5B3C9F"/>
    <w:rsid w:val="3BC814C0"/>
    <w:rsid w:val="3BF375EE"/>
    <w:rsid w:val="3C8D220B"/>
    <w:rsid w:val="3CAD1E92"/>
    <w:rsid w:val="3CEC23BE"/>
    <w:rsid w:val="3DAC056E"/>
    <w:rsid w:val="3DF26BEC"/>
    <w:rsid w:val="3EA92122"/>
    <w:rsid w:val="3F5B5210"/>
    <w:rsid w:val="3F961308"/>
    <w:rsid w:val="3FA21D9D"/>
    <w:rsid w:val="3FAC311E"/>
    <w:rsid w:val="4050645C"/>
    <w:rsid w:val="40D55514"/>
    <w:rsid w:val="419B2CA0"/>
    <w:rsid w:val="41A6056E"/>
    <w:rsid w:val="426C0E30"/>
    <w:rsid w:val="42DF4FD5"/>
    <w:rsid w:val="43A6084D"/>
    <w:rsid w:val="43C53172"/>
    <w:rsid w:val="43CA2583"/>
    <w:rsid w:val="43EF4B3E"/>
    <w:rsid w:val="44D03ABD"/>
    <w:rsid w:val="46476EB4"/>
    <w:rsid w:val="464F6917"/>
    <w:rsid w:val="46A377BC"/>
    <w:rsid w:val="46D9127C"/>
    <w:rsid w:val="47013070"/>
    <w:rsid w:val="488E0B11"/>
    <w:rsid w:val="493F5E8E"/>
    <w:rsid w:val="49832350"/>
    <w:rsid w:val="49D96075"/>
    <w:rsid w:val="49FD1143"/>
    <w:rsid w:val="4A091B47"/>
    <w:rsid w:val="4A3C32E7"/>
    <w:rsid w:val="4A930919"/>
    <w:rsid w:val="4A98294C"/>
    <w:rsid w:val="4AAC3789"/>
    <w:rsid w:val="4B4E7C4F"/>
    <w:rsid w:val="4BD25714"/>
    <w:rsid w:val="4C0250D9"/>
    <w:rsid w:val="4C2E58E4"/>
    <w:rsid w:val="4C485734"/>
    <w:rsid w:val="4C8E3CAD"/>
    <w:rsid w:val="4CA00EF5"/>
    <w:rsid w:val="4CB124C5"/>
    <w:rsid w:val="4D92335E"/>
    <w:rsid w:val="4D9B7497"/>
    <w:rsid w:val="4EA8070C"/>
    <w:rsid w:val="50417BF7"/>
    <w:rsid w:val="515D3A2F"/>
    <w:rsid w:val="52481FEA"/>
    <w:rsid w:val="53630F4A"/>
    <w:rsid w:val="5371731E"/>
    <w:rsid w:val="53955F69"/>
    <w:rsid w:val="54376BC2"/>
    <w:rsid w:val="54947206"/>
    <w:rsid w:val="55197FB9"/>
    <w:rsid w:val="554E25AE"/>
    <w:rsid w:val="555C3EC7"/>
    <w:rsid w:val="55DC74A2"/>
    <w:rsid w:val="569772B1"/>
    <w:rsid w:val="56D43325"/>
    <w:rsid w:val="571C57F3"/>
    <w:rsid w:val="57A001D2"/>
    <w:rsid w:val="58111AF2"/>
    <w:rsid w:val="58562627"/>
    <w:rsid w:val="59A85A64"/>
    <w:rsid w:val="59A962B0"/>
    <w:rsid w:val="5A6150CB"/>
    <w:rsid w:val="5A8C0A39"/>
    <w:rsid w:val="5A8D7AF5"/>
    <w:rsid w:val="5A90726B"/>
    <w:rsid w:val="5B5A1503"/>
    <w:rsid w:val="5B9A1E40"/>
    <w:rsid w:val="5BD47B15"/>
    <w:rsid w:val="5BF9175D"/>
    <w:rsid w:val="5CF4045F"/>
    <w:rsid w:val="5CF82E90"/>
    <w:rsid w:val="5D0D4D06"/>
    <w:rsid w:val="5ECC7329"/>
    <w:rsid w:val="5EFC15AD"/>
    <w:rsid w:val="5FC82BB3"/>
    <w:rsid w:val="60561D75"/>
    <w:rsid w:val="60844B35"/>
    <w:rsid w:val="60E85AD8"/>
    <w:rsid w:val="620D2908"/>
    <w:rsid w:val="622D0D14"/>
    <w:rsid w:val="62402CDD"/>
    <w:rsid w:val="631961DD"/>
    <w:rsid w:val="63625EF6"/>
    <w:rsid w:val="64622E98"/>
    <w:rsid w:val="64704CBD"/>
    <w:rsid w:val="659C46CE"/>
    <w:rsid w:val="65FC5FC0"/>
    <w:rsid w:val="6615622F"/>
    <w:rsid w:val="668037A8"/>
    <w:rsid w:val="674555B8"/>
    <w:rsid w:val="68DB7851"/>
    <w:rsid w:val="69E811CF"/>
    <w:rsid w:val="6A03656D"/>
    <w:rsid w:val="6A916014"/>
    <w:rsid w:val="6B415125"/>
    <w:rsid w:val="6BE67574"/>
    <w:rsid w:val="6C3E04A4"/>
    <w:rsid w:val="6D012174"/>
    <w:rsid w:val="6DA66788"/>
    <w:rsid w:val="6E592619"/>
    <w:rsid w:val="6E716558"/>
    <w:rsid w:val="6EBC053F"/>
    <w:rsid w:val="6EF308E2"/>
    <w:rsid w:val="6FB8461B"/>
    <w:rsid w:val="6FE7460E"/>
    <w:rsid w:val="6FF73669"/>
    <w:rsid w:val="705A10F7"/>
    <w:rsid w:val="70746A5A"/>
    <w:rsid w:val="71E46B34"/>
    <w:rsid w:val="72273530"/>
    <w:rsid w:val="723B3CBA"/>
    <w:rsid w:val="724E1851"/>
    <w:rsid w:val="725B5C5E"/>
    <w:rsid w:val="73C16D4D"/>
    <w:rsid w:val="741657BE"/>
    <w:rsid w:val="743079E6"/>
    <w:rsid w:val="745B68E1"/>
    <w:rsid w:val="74EF0A4A"/>
    <w:rsid w:val="75371D1E"/>
    <w:rsid w:val="75640639"/>
    <w:rsid w:val="75BA7FD9"/>
    <w:rsid w:val="771B11CB"/>
    <w:rsid w:val="776808B4"/>
    <w:rsid w:val="77F87308"/>
    <w:rsid w:val="784C049C"/>
    <w:rsid w:val="7884464F"/>
    <w:rsid w:val="796843A8"/>
    <w:rsid w:val="79B4336B"/>
    <w:rsid w:val="7AF81F4F"/>
    <w:rsid w:val="7BF80595"/>
    <w:rsid w:val="7C7B7C0A"/>
    <w:rsid w:val="7D536558"/>
    <w:rsid w:val="7E3239CA"/>
    <w:rsid w:val="7EB048EF"/>
    <w:rsid w:val="7F160BF6"/>
    <w:rsid w:val="7F762FA4"/>
    <w:rsid w:val="7F930498"/>
    <w:rsid w:val="7FE07E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spacing w:before="280" w:after="290" w:line="376" w:lineRule="auto"/>
      <w:outlineLvl w:val="3"/>
    </w:pPr>
    <w:rPr>
      <w:rFonts w:ascii="等线 Light" w:hAnsi="等线 Light" w:eastAsia="等线 Light"/>
      <w:b/>
      <w:bCs/>
      <w:sz w:val="28"/>
      <w:szCs w:val="28"/>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阳"/>
    <w:basedOn w:val="1"/>
    <w:qFormat/>
    <w:uiPriority w:val="0"/>
    <w:pPr>
      <w:spacing w:line="570" w:lineRule="exact"/>
      <w:ind w:firstLine="640" w:firstLineChars="200"/>
      <w:jc w:val="left"/>
    </w:pPr>
    <w:rPr>
      <w:rFonts w:hint="eastAsia" w:ascii="仿宋" w:hAnsi="仿宋" w:eastAsia="方正仿宋_GBK"/>
      <w:spacing w:val="1"/>
      <w:kern w:val="2"/>
    </w:rPr>
  </w:style>
  <w:style w:type="paragraph" w:styleId="6">
    <w:name w:val="Normal Indent"/>
    <w:basedOn w:val="1"/>
    <w:qFormat/>
    <w:uiPriority w:val="99"/>
    <w:pPr>
      <w:ind w:firstLine="420"/>
    </w:pPr>
    <w:rPr>
      <w:rFonts w:ascii="Times New Roman" w:hAnsi="Times New Roman" w:eastAsia="仿宋_GB2312"/>
      <w:sz w:val="24"/>
      <w:szCs w:val="20"/>
    </w:rPr>
  </w:style>
  <w:style w:type="paragraph" w:styleId="7">
    <w:name w:val="Document Map"/>
    <w:basedOn w:val="1"/>
    <w:link w:val="20"/>
    <w:semiHidden/>
    <w:qFormat/>
    <w:uiPriority w:val="99"/>
    <w:rPr>
      <w:rFonts w:ascii="宋体" w:eastAsia="宋体"/>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locked/>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99"/>
    <w:rPr>
      <w:rFonts w:cs="Times New Roman"/>
      <w:color w:val="0563C1"/>
      <w:u w:val="single"/>
    </w:rPr>
  </w:style>
  <w:style w:type="character" w:customStyle="1" w:styleId="17">
    <w:name w:val="Heading 1 Char"/>
    <w:basedOn w:val="15"/>
    <w:link w:val="3"/>
    <w:qFormat/>
    <w:locked/>
    <w:uiPriority w:val="99"/>
    <w:rPr>
      <w:rFonts w:ascii="Times New Roman" w:hAnsi="Times New Roman" w:eastAsia="黑体" w:cs="Arial"/>
      <w:b/>
      <w:bCs/>
      <w:kern w:val="44"/>
      <w:sz w:val="44"/>
      <w:szCs w:val="44"/>
    </w:rPr>
  </w:style>
  <w:style w:type="character" w:customStyle="1" w:styleId="18">
    <w:name w:val="Heading 3 Char"/>
    <w:basedOn w:val="15"/>
    <w:link w:val="4"/>
    <w:semiHidden/>
    <w:qFormat/>
    <w:locked/>
    <w:uiPriority w:val="99"/>
    <w:rPr>
      <w:rFonts w:ascii="等线" w:hAnsi="等线" w:eastAsia="等线" w:cs="Times New Roman"/>
      <w:b/>
      <w:bCs/>
      <w:kern w:val="2"/>
      <w:sz w:val="32"/>
      <w:szCs w:val="32"/>
    </w:rPr>
  </w:style>
  <w:style w:type="character" w:customStyle="1" w:styleId="19">
    <w:name w:val="Heading 4 Char"/>
    <w:basedOn w:val="15"/>
    <w:link w:val="5"/>
    <w:semiHidden/>
    <w:qFormat/>
    <w:locked/>
    <w:uiPriority w:val="99"/>
    <w:rPr>
      <w:rFonts w:ascii="等线 Light" w:hAnsi="等线 Light" w:eastAsia="等线 Light" w:cs="Times New Roman"/>
      <w:b/>
      <w:bCs/>
      <w:kern w:val="2"/>
      <w:sz w:val="28"/>
      <w:szCs w:val="28"/>
    </w:rPr>
  </w:style>
  <w:style w:type="character" w:customStyle="1" w:styleId="20">
    <w:name w:val="Document Map Char"/>
    <w:basedOn w:val="15"/>
    <w:link w:val="7"/>
    <w:semiHidden/>
    <w:qFormat/>
    <w:locked/>
    <w:uiPriority w:val="99"/>
    <w:rPr>
      <w:rFonts w:ascii="宋体" w:hAnsi="等线" w:cs="Times New Roman"/>
      <w:kern w:val="2"/>
      <w:sz w:val="18"/>
      <w:szCs w:val="18"/>
    </w:rPr>
  </w:style>
  <w:style w:type="character" w:customStyle="1" w:styleId="21">
    <w:name w:val="Footer Char"/>
    <w:basedOn w:val="15"/>
    <w:link w:val="8"/>
    <w:qFormat/>
    <w:locked/>
    <w:uiPriority w:val="99"/>
    <w:rPr>
      <w:rFonts w:cs="Times New Roman"/>
      <w:sz w:val="18"/>
      <w:szCs w:val="18"/>
    </w:rPr>
  </w:style>
  <w:style w:type="character" w:customStyle="1" w:styleId="22">
    <w:name w:val="Header Char"/>
    <w:basedOn w:val="15"/>
    <w:link w:val="9"/>
    <w:qFormat/>
    <w:locked/>
    <w:uiPriority w:val="99"/>
    <w:rPr>
      <w:rFonts w:cs="Times New Roman"/>
      <w:sz w:val="18"/>
      <w:szCs w:val="18"/>
    </w:rPr>
  </w:style>
  <w:style w:type="paragraph" w:customStyle="1" w:styleId="23">
    <w:name w:val="Default"/>
    <w:qFormat/>
    <w:uiPriority w:val="99"/>
    <w:pPr>
      <w:widowControl w:val="0"/>
      <w:autoSpaceDE w:val="0"/>
      <w:autoSpaceDN w:val="0"/>
      <w:adjustRightInd w:val="0"/>
    </w:pPr>
    <w:rPr>
      <w:rFonts w:ascii="HYb2gj" w:hAnsi="Times New Roman" w:eastAsia="HYb2gj" w:cs="HYb2gj"/>
      <w:color w:val="000000"/>
      <w:kern w:val="0"/>
      <w:sz w:val="24"/>
      <w:szCs w:val="24"/>
      <w:lang w:val="en-US" w:eastAsia="zh-CN" w:bidi="ar-SA"/>
    </w:rPr>
  </w:style>
  <w:style w:type="paragraph" w:customStyle="1" w:styleId="24">
    <w:name w:val="列表段落1"/>
    <w:basedOn w:val="1"/>
    <w:qFormat/>
    <w:uiPriority w:val="99"/>
    <w:pPr>
      <w:ind w:firstLine="420" w:firstLineChars="200"/>
    </w:pPr>
  </w:style>
  <w:style w:type="paragraph" w:customStyle="1" w:styleId="25">
    <w:name w:val="表头"/>
    <w:basedOn w:val="1"/>
    <w:qFormat/>
    <w:uiPriority w:val="99"/>
    <w:pPr>
      <w:adjustRightInd w:val="0"/>
      <w:snapToGrid w:val="0"/>
      <w:jc w:val="center"/>
      <w:textAlignment w:val="baseline"/>
    </w:pPr>
    <w:rPr>
      <w:rFonts w:ascii="黑体" w:hAnsi="Times New Roman" w:eastAsia="黑体"/>
      <w:b/>
      <w:spacing w:val="8"/>
      <w:kern w:val="24"/>
      <w:szCs w:val="21"/>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40</Pages>
  <Words>17275</Words>
  <Characters>18420</Characters>
  <Lines>0</Lines>
  <Paragraphs>0</Paragraphs>
  <TotalTime>6</TotalTime>
  <ScaleCrop>false</ScaleCrop>
  <LinksUpToDate>false</LinksUpToDate>
  <CharactersWithSpaces>18582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2022-08-03T12:16:00Z</dcterms:created>
  <dc:creator>ThinkPad</dc:creator>
  <cp:lastModifiedBy>Administrator</cp:lastModifiedBy>
  <cp:lastPrinted>2022-08-04T06:28:00Z</cp:lastPrinted>
  <dcterms:modified xsi:type="dcterms:W3CDTF">2023-09-15T04:17:00Z</dcterms:modified>
  <dc:title>疏附县吾库萨克镇7村-托克扎克镇4村-萨依巴格乡10村道路建设项目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5689041C8AC7467A8253A07087BE3D11</vt:lpwstr>
  </property>
</Properties>
</file>